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6764284380782f40898b24601d25a7073de3b"/>
    <w:p>
      <w:pPr>
        <w:pStyle w:val="Heading3"/>
      </w:pPr>
      <w:r>
        <w:t xml:space="preserve">Многоквартирные дома, находящиеся в управлении частных управляющих компаний.</w:t>
      </w:r>
    </w:p>
    <w:p>
      <w:pPr>
        <w:pStyle w:val="FirstParagraph"/>
      </w:pPr>
      <w:r>
        <w:t xml:space="preserve">03.02.2020</w:t>
      </w:r>
    </w:p>
    <w:p>
      <w:pPr>
        <w:pStyle w:val="BodyText"/>
      </w:pPr>
      <w:hyperlink r:id="rId20">
        <w:r>
          <w:rPr>
            <w:rStyle w:val="Hyperlink"/>
          </w:rPr>
          <w:t xml:space="preserve">Многоквартирные дома, находящиеся в управлении частных управляющих компаний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http://severnoe-tushino.mos.ru/utilities/-hbc-managers-of-the-organization/detail/8662251.html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4d6/tszh_zhsk_uk_obshchagi_dlya_sayta.xls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4d6/tszh_zhsk_uk_obshchagi_dlya_sayta.xls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8662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2023-09-21T08:00:39Z</dcterms:created>
  <dcterms:modified xsi:type="dcterms:W3CDTF">2023-09-21T08:00:39Z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