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b78b37f952f34e790f370bbd3e0ec14c4d637"/>
    <w:p>
      <w:pPr>
        <w:pStyle w:val="Heading3"/>
      </w:pPr>
      <w:r>
        <w:t xml:space="preserve">Сроки приема показаний ИПУ в декабре 2016 года</w:t>
      </w:r>
    </w:p>
    <w:p>
      <w:pPr>
        <w:pStyle w:val="FirstParagraph"/>
      </w:pPr>
      <w:r>
        <w:t xml:space="preserve">19.12.2016</w:t>
      </w:r>
    </w:p>
    <w:p>
      <w:pPr>
        <w:pStyle w:val="BodyText"/>
      </w:pPr>
      <w:r>
        <w:t xml:space="preserve">В связи с тем, что с 01.01.2017 г. по 08.01.2017 г. филиалы ГБУ МФЦ не будут работать, передачу объемов водопотребления по ИПУ в ГБУ МФЦ необходимо предоставить в срок до 27 декабря 2016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http://severnoe-tushino.mos.ru/utilities/-hbc-managers-of-the-organization/detail/4476215.html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4476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4476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2023-09-21T08:00:52Z</dcterms:created>
  <dcterms:modified xsi:type="dcterms:W3CDTF">2023-09-21T08:00:52Z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