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a7b21072354cf5a169375d1dafd183f8b750e"/>
    <w:p>
      <w:pPr>
        <w:pStyle w:val="Heading3"/>
      </w:pPr>
      <w:r>
        <w:t xml:space="preserve">Каждый шестой индивидуальный предприниматель перешел на патентную систему налогообложения</w:t>
      </w:r>
    </w:p>
    <w:p>
      <w:pPr>
        <w:pStyle w:val="FirstParagraph"/>
      </w:pPr>
      <w:r>
        <w:t xml:space="preserve">11.02.2014</w:t>
      </w:r>
    </w:p>
    <w:p>
      <w:pPr>
        <w:pStyle w:val="BodyText"/>
      </w:pPr>
      <w:r>
        <w:t xml:space="preserve">Департамент экономической политики и развития города Москвы подвел годовые итоги внедрения новой патентной системы налогообложения (действует с января 2013 года), которая позволила индивидуальным предпринимателям, работающим в сферах розничной торговли, общепита и бытовых услуг, существенно упростить процедуру регистрации и ведения бизнеса.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http://severnoe-tushino.mos.ru/presscenter/news/detail/950074.html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50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50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2025-08-06T04:04:43Z</dcterms:created>
  <dcterms:modified xsi:type="dcterms:W3CDTF">2025-08-06T04:04:43Z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