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67e2c984329100bcfd97e2750cad177d2bedc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Тушино.</w:t>
      </w:r>
    </w:p>
    <w:p>
      <w:pPr>
        <w:pStyle w:val="FirstParagraph"/>
      </w:pPr>
      <w:r>
        <w:t xml:space="preserve">03.04.2020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года № 448-ПП.</w:t>
      </w:r>
    </w:p>
    <w:p>
      <w:pPr>
        <w:pStyle w:val="BodyText"/>
      </w:pPr>
      <w:r>
        <w:t xml:space="preserve">Организатором общественных обсуждений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проводятся в пределах территории района Северное Тушино города Москвы.</w:t>
      </w:r>
    </w:p>
    <w:p>
      <w:pPr>
        <w:pStyle w:val="BodyText"/>
      </w:pPr>
      <w:r>
        <w:t xml:space="preserve">К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подготовлены следующие информационные материалы: утверждаемая часть проекта, демонстрационные материалы.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и информационные материалы к нему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t xml:space="preserve">(далее – официальный сайт), в разделе «Общественные обсуждения».</w:t>
      </w:r>
    </w:p>
    <w:p>
      <w:pPr>
        <w:pStyle w:val="BodyText"/>
      </w:pPr>
      <w:r>
        <w:t xml:space="preserve">Общий срок проведения общественных обсуждений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1, 2 района Северное Тушино составляет не менее одного и не более трех месяцев.</w:t>
      </w:r>
    </w:p>
    <w:p>
      <w:pPr>
        <w:pStyle w:val="BodyText"/>
      </w:pPr>
      <w:r>
        <w:t xml:space="preserve">Экспозиция проекта открыта 13.04.2020 на официальном сайте и проводится с 13.04.2020 по 26.04.2020. 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http://severnoe-tushino.mos.ru/presscenter/news/detail/8808636.html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8808636.html" TargetMode="External" /><Relationship Type="http://schemas.openxmlformats.org/officeDocument/2006/relationships/hyperlink" Id="rId20" Target="https://a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8808636.html" TargetMode="External" /><Relationship Type="http://schemas.openxmlformats.org/officeDocument/2006/relationships/hyperlink" Id="rId20" Target="https://a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2025-08-06T00:04:15Z</dcterms:created>
  <dcterms:modified xsi:type="dcterms:W3CDTF">2025-08-06T00:04:15Z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