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b7650f40faec26bd112ca60212f9ec82d49625"/>
    <w:p>
      <w:pPr>
        <w:pStyle w:val="Heading3"/>
      </w:pPr>
      <w:r>
        <w:t xml:space="preserve">Новое о программе «Материнский (семейный) капитал»</w:t>
      </w:r>
    </w:p>
    <w:p>
      <w:pPr>
        <w:pStyle w:val="FirstParagraph"/>
      </w:pPr>
      <w:r>
        <w:t xml:space="preserve">14.02.2020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http://severnoe-tushino.mos.ru/presscenter/news/detail/8693493.html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934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oe-tushino.mos.ru" TargetMode="External" /><Relationship Type="http://schemas.openxmlformats.org/officeDocument/2006/relationships/hyperlink" Id="rId20" Target="http://severnoe-tushino.mos.ru/presscenter/news/detail/86934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2025-02-12T23:51:06Z</dcterms:created>
  <dcterms:modified xsi:type="dcterms:W3CDTF">2025-02-12T23:51:06Z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