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6bc52a38cf62342fa48f3528efa8b4b47b19fa"/>
    <w:p>
      <w:pPr>
        <w:pStyle w:val="Heading3"/>
      </w:pPr>
      <w:r>
        <w:t xml:space="preserve">Личный кабинет на сайте ПФР – это 60 модулей электронных услуг</w:t>
      </w:r>
    </w:p>
    <w:p>
      <w:pPr>
        <w:pStyle w:val="FirstParagraph"/>
      </w:pPr>
      <w:r>
        <w:t xml:space="preserve">13.06.2019</w:t>
      </w:r>
    </w:p>
    <w:p>
      <w:pPr>
        <w:pStyle w:val="BodyText"/>
      </w:pPr>
      <w:r>
        <w:rPr>
          <w:bCs/>
          <w:b/>
        </w:rPr>
        <w:t xml:space="preserve">Личный кабинет на сайте ПФР –</w:t>
      </w:r>
    </w:p>
    <w:p>
      <w:pPr>
        <w:pStyle w:val="BodyText"/>
      </w:pPr>
      <w:r>
        <w:rPr>
          <w:bCs/>
          <w:b/>
        </w:rPr>
        <w:t xml:space="preserve">это 60 модулей электронных услуг</w:t>
      </w:r>
    </w:p>
    <w:p>
      <w:pPr>
        <w:pStyle w:val="BodyText"/>
      </w:pPr>
      <w:r>
        <w:rPr>
          <w:bCs/>
          <w:b/>
        </w:rPr>
        <w:t xml:space="preserve">22 ноября 2018</w:t>
      </w:r>
    </w:p>
    <w:p>
      <w:pPr>
        <w:pStyle w:val="BodyText"/>
      </w:pPr>
      <w:r>
        <w:rPr>
          <w:bCs/>
          <w:b/>
        </w:rPr>
        <w:t xml:space="preserve">Главное управление ПФР №9 по г. Москве и Московской области</w:t>
      </w:r>
      <w:r>
        <w:t xml:space="preserve"> </w:t>
      </w:r>
      <w:r>
        <w:t xml:space="preserve">приглашает граждан пользоваться электронными услугами Пенсионного фонда РФ на официальном сайте ПФР с помощью личного кабинета</w:t>
      </w:r>
      <w:r>
        <w:t xml:space="preserve"> </w:t>
      </w:r>
      <w:hyperlink r:id="rId20">
        <w:r>
          <w:rPr>
            <w:rStyle w:val="Hyperlink"/>
          </w:rPr>
          <w:t xml:space="preserve">https://es.pfrf.ru/</w:t>
        </w:r>
      </w:hyperlink>
      <w:r>
        <w:t xml:space="preserve"> </w:t>
      </w:r>
      <w:r>
        <w:t xml:space="preserve">и в мобильном приложении.</w:t>
      </w:r>
    </w:p>
    <w:p>
      <w:pPr>
        <w:pStyle w:val="BodyText"/>
      </w:pPr>
      <w:r>
        <w:t xml:space="preserve">Возможно предоставление услуг без регистрации, но услуги, связанные с персональными данными граждан, требуют регистрации и подтверждения учетной записи на Едином портале государственных и муниципальных услуг https://www.gosuslugi.ru/. Сделать это можно как самостоятельно, так и в любой Клиентской службе, а также по адресу: Красногорский район, 69 км МКАД, д. Путилково, МТВК «Гринвуд» строение 27. (Телефон для записи на приём: 8-498-568-80-30).</w:t>
      </w:r>
    </w:p>
    <w:p>
      <w:pPr>
        <w:pStyle w:val="BodyText"/>
      </w:pPr>
      <w:r>
        <w:t xml:space="preserve">На сегодняшний день на сайте ПФР в разделе «Личный кабинет гражданина» представлены уже 60 модулей электронных услуг.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bCs/>
          <w:b/>
        </w:rPr>
        <w:t xml:space="preserve">«Индивидуальный лицевой счет»</w:t>
      </w:r>
      <w:r>
        <w:t xml:space="preserve"> </w:t>
      </w:r>
      <w:r>
        <w:t xml:space="preserve">можно:</w:t>
      </w:r>
    </w:p>
    <w:p>
      <w:pPr>
        <w:pStyle w:val="BodyText"/>
      </w:pPr>
      <w:r>
        <w:rPr>
          <w:iCs/>
          <w:i/>
          <w:bCs/>
          <w:b/>
        </w:rPr>
        <w:t xml:space="preserve">Подать заявление:</w:t>
      </w:r>
    </w:p>
    <w:p>
      <w:pPr>
        <w:pStyle w:val="BodyText"/>
      </w:pPr>
      <w:r>
        <w:rPr>
          <w:iCs/>
          <w:i/>
        </w:rPr>
        <w:t xml:space="preserve">о выдаче дубликата страхового свидетельства</w:t>
      </w:r>
    </w:p>
    <w:p>
      <w:pPr>
        <w:pStyle w:val="BodyText"/>
      </w:pPr>
      <w:r>
        <w:rPr>
          <w:iCs/>
          <w:i/>
          <w:bCs/>
          <w:b/>
        </w:rPr>
        <w:t xml:space="preserve">Получить информацию:</w:t>
      </w:r>
    </w:p>
    <w:p>
      <w:pPr>
        <w:pStyle w:val="BodyText"/>
      </w:pPr>
      <w:r>
        <w:rPr>
          <w:iCs/>
          <w:i/>
        </w:rPr>
        <w:t xml:space="preserve">о сформированных пенсионных правах</w:t>
      </w:r>
    </w:p>
    <w:p>
      <w:pPr>
        <w:pStyle w:val="BodyText"/>
      </w:pPr>
      <w:r>
        <w:rPr>
          <w:iCs/>
          <w:i/>
          <w:bCs/>
          <w:b/>
        </w:rPr>
        <w:t xml:space="preserve">Заказать справку (выписку):</w:t>
      </w:r>
    </w:p>
    <w:p>
      <w:pPr>
        <w:pStyle w:val="BodyText"/>
      </w:pPr>
      <w:r>
        <w:rPr>
          <w:iCs/>
          <w:i/>
        </w:rPr>
        <w:t xml:space="preserve">о состоянии индивидуального лицевого счёта</w:t>
      </w:r>
    </w:p>
    <w:p>
      <w:pPr>
        <w:pStyle w:val="BodyText"/>
      </w:pPr>
      <w:r>
        <w:t xml:space="preserve">В разделе «</w:t>
      </w:r>
      <w:r>
        <w:rPr>
          <w:bCs/>
          <w:b/>
        </w:rPr>
        <w:t xml:space="preserve">Управление средствами пенсионных накоплений»</w:t>
      </w:r>
      <w:r>
        <w:t xml:space="preserve">:</w:t>
      </w:r>
    </w:p>
    <w:p>
      <w:pPr>
        <w:pStyle w:val="BodyText"/>
      </w:pPr>
      <w:r>
        <w:rPr>
          <w:bCs/>
          <w:b/>
          <w:iCs/>
          <w:i/>
        </w:rPr>
        <w:t xml:space="preserve">Подать заявление (уведомление):</w:t>
      </w:r>
    </w:p>
    <w:p>
      <w:pPr>
        <w:pStyle w:val="BodyText"/>
      </w:pPr>
      <w:r>
        <w:rPr>
          <w:iCs/>
          <w:i/>
        </w:rPr>
        <w:t xml:space="preserve">о замене ранее выбранного страховщика;</w:t>
      </w:r>
    </w:p>
    <w:p>
      <w:pPr>
        <w:pStyle w:val="BodyText"/>
      </w:pPr>
      <w:r>
        <w:rPr>
          <w:iCs/>
          <w:i/>
        </w:rPr>
        <w:t xml:space="preserve">об отказе от формирования накопительной пенсии;</w:t>
      </w:r>
    </w:p>
    <w:p>
      <w:pPr>
        <w:pStyle w:val="BodyText"/>
      </w:pPr>
      <w:r>
        <w:rPr>
          <w:iCs/>
          <w:i/>
        </w:rPr>
        <w:t xml:space="preserve">о переводе средств пенсионных накоплений и (или) выборе инвестиционного портфеля.</w:t>
      </w:r>
    </w:p>
    <w:p>
      <w:pPr>
        <w:pStyle w:val="BodyText"/>
      </w:pPr>
      <w:r>
        <w:rPr>
          <w:iCs/>
          <w:i/>
          <w:bCs/>
          <w:b/>
        </w:rPr>
        <w:t xml:space="preserve">Получить информацию:</w:t>
      </w:r>
    </w:p>
    <w:p>
      <w:pPr>
        <w:pStyle w:val="BodyText"/>
      </w:pPr>
      <w:r>
        <w:rPr>
          <w:iCs/>
          <w:i/>
        </w:rPr>
        <w:t xml:space="preserve">о страховщике по формированию пенсионных накоплений;</w:t>
      </w:r>
    </w:p>
    <w:p>
      <w:pPr>
        <w:pStyle w:val="BodyText"/>
      </w:pPr>
      <w:r>
        <w:rPr>
          <w:iCs/>
          <w:i/>
        </w:rPr>
        <w:t xml:space="preserve">о рассмотренных заявлениях.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bCs/>
          <w:b/>
        </w:rPr>
        <w:t xml:space="preserve">«Пенсии»</w:t>
      </w:r>
      <w:r>
        <w:t xml:space="preserve">:</w:t>
      </w:r>
    </w:p>
    <w:p>
      <w:pPr>
        <w:pStyle w:val="BodyText"/>
      </w:pPr>
      <w:r>
        <w:rPr>
          <w:iCs/>
          <w:i/>
          <w:bCs/>
          <w:b/>
        </w:rPr>
        <w:t xml:space="preserve">Подать заявление:</w:t>
      </w:r>
    </w:p>
    <w:p>
      <w:pPr>
        <w:pStyle w:val="BodyText"/>
      </w:pPr>
      <w:r>
        <w:rPr>
          <w:iCs/>
          <w:i/>
        </w:rPr>
        <w:t xml:space="preserve">о назначении пенсии;</w:t>
      </w:r>
    </w:p>
    <w:p>
      <w:pPr>
        <w:pStyle w:val="BodyText"/>
      </w:pPr>
      <w:r>
        <w:rPr>
          <w:iCs/>
          <w:i/>
        </w:rPr>
        <w:t xml:space="preserve">о единовременной выплате средств пенсионных накоплений;</w:t>
      </w:r>
    </w:p>
    <w:p>
      <w:pPr>
        <w:pStyle w:val="BodyText"/>
      </w:pPr>
      <w:r>
        <w:rPr>
          <w:iCs/>
          <w:i/>
        </w:rPr>
        <w:t xml:space="preserve">о доставке пенсии;</w:t>
      </w:r>
    </w:p>
    <w:p>
      <w:pPr>
        <w:pStyle w:val="BodyText"/>
      </w:pPr>
      <w:r>
        <w:rPr>
          <w:iCs/>
          <w:i/>
        </w:rPr>
        <w:t xml:space="preserve">о переводе с одной пенсии на другую;</w:t>
      </w:r>
    </w:p>
    <w:p>
      <w:pPr>
        <w:pStyle w:val="BodyText"/>
      </w:pPr>
      <w:r>
        <w:rPr>
          <w:iCs/>
          <w:i/>
        </w:rPr>
        <w:t xml:space="preserve">о назначении срочной пенсионной выплаты из средств пенсионных накоплений;</w:t>
      </w:r>
    </w:p>
    <w:p>
      <w:pPr>
        <w:pStyle w:val="BodyText"/>
      </w:pPr>
      <w:r>
        <w:rPr>
          <w:iCs/>
          <w:i/>
        </w:rPr>
        <w:t xml:space="preserve">о факте осуществления (прекращения) работы;</w:t>
      </w:r>
    </w:p>
    <w:p>
      <w:pPr>
        <w:pStyle w:val="BodyText"/>
      </w:pPr>
      <w:r>
        <w:rPr>
          <w:iCs/>
          <w:i/>
        </w:rPr>
        <w:t xml:space="preserve">о перерасчете размера пенсии;</w:t>
      </w:r>
    </w:p>
    <w:p>
      <w:pPr>
        <w:pStyle w:val="BodyText"/>
      </w:pPr>
      <w:r>
        <w:rPr>
          <w:iCs/>
          <w:i/>
        </w:rPr>
        <w:t xml:space="preserve">о возобновлении выплаты пенсии;</w:t>
      </w:r>
    </w:p>
    <w:p>
      <w:pPr>
        <w:pStyle w:val="BodyText"/>
      </w:pPr>
      <w:r>
        <w:rPr>
          <w:iCs/>
          <w:i/>
        </w:rPr>
        <w:t xml:space="preserve">о прекращении выплаты пенсии;</w:t>
      </w:r>
    </w:p>
    <w:p>
      <w:pPr>
        <w:pStyle w:val="BodyText"/>
      </w:pPr>
      <w:r>
        <w:rPr>
          <w:iCs/>
          <w:i/>
        </w:rPr>
        <w:t xml:space="preserve">о восстановлении выплаты пенсии;</w:t>
      </w:r>
    </w:p>
    <w:p>
      <w:pPr>
        <w:pStyle w:val="BodyText"/>
      </w:pPr>
      <w:r>
        <w:rPr>
          <w:iCs/>
          <w:i/>
        </w:rPr>
        <w:t xml:space="preserve">об отказе от получения назначенной пенсии;</w:t>
      </w:r>
    </w:p>
    <w:p>
      <w:pPr>
        <w:pStyle w:val="BodyText"/>
      </w:pPr>
      <w:r>
        <w:rPr>
          <w:iCs/>
          <w:i/>
        </w:rPr>
        <w:t xml:space="preserve">о запросе на передачу выплатного (пенсионного) дела в ТО ПФР по новому месту жительства.</w:t>
      </w:r>
    </w:p>
    <w:p>
      <w:pPr>
        <w:pStyle w:val="BodyText"/>
      </w:pPr>
      <w:r>
        <w:rPr>
          <w:iCs/>
          <w:i/>
          <w:bCs/>
          <w:b/>
        </w:rPr>
        <w:t xml:space="preserve">Получить информацию:</w:t>
      </w:r>
    </w:p>
    <w:p>
      <w:pPr>
        <w:pStyle w:val="BodyText"/>
      </w:pPr>
      <w:r>
        <w:rPr>
          <w:iCs/>
          <w:i/>
        </w:rPr>
        <w:t xml:space="preserve">о пенсионном обеспечении</w:t>
      </w:r>
    </w:p>
    <w:p>
      <w:pPr>
        <w:pStyle w:val="BodyText"/>
      </w:pPr>
      <w:r>
        <w:rPr>
          <w:iCs/>
          <w:i/>
          <w:bCs/>
          <w:b/>
        </w:rPr>
        <w:t xml:space="preserve">Заказать справку (выписку):</w:t>
      </w:r>
    </w:p>
    <w:p>
      <w:pPr>
        <w:pStyle w:val="BodyText"/>
      </w:pPr>
      <w:r>
        <w:rPr>
          <w:iCs/>
          <w:i/>
        </w:rPr>
        <w:t xml:space="preserve">о размере пенсии</w:t>
      </w:r>
    </w:p>
    <w:p>
      <w:pPr>
        <w:pStyle w:val="BodyText"/>
      </w:pPr>
      <w:r>
        <w:t xml:space="preserve">В разделе «</w:t>
      </w:r>
      <w:r>
        <w:rPr>
          <w:bCs/>
          <w:b/>
        </w:rPr>
        <w:t xml:space="preserve">Социальные выплаты»</w:t>
      </w:r>
      <w:r>
        <w:t xml:space="preserve">:</w:t>
      </w:r>
    </w:p>
    <w:p>
      <w:pPr>
        <w:pStyle w:val="BodyText"/>
      </w:pPr>
      <w:r>
        <w:rPr>
          <w:iCs/>
          <w:i/>
          <w:bCs/>
          <w:b/>
        </w:rPr>
        <w:t xml:space="preserve">Подать заявление:</w:t>
      </w:r>
    </w:p>
    <w:p>
      <w:pPr>
        <w:pStyle w:val="BodyText"/>
      </w:pPr>
      <w:r>
        <w:rPr>
          <w:iCs/>
          <w:i/>
        </w:rPr>
        <w:t xml:space="preserve">о назначении ежемесячной денежной выплаты;</w:t>
      </w:r>
    </w:p>
    <w:p>
      <w:pPr>
        <w:pStyle w:val="BodyText"/>
      </w:pPr>
      <w:r>
        <w:rPr>
          <w:iCs/>
          <w:i/>
        </w:rPr>
        <w:t xml:space="preserve">о назначении ежемесячной денежной выплаты в повышенном размере;</w:t>
      </w:r>
    </w:p>
    <w:p>
      <w:pPr>
        <w:pStyle w:val="BodyText"/>
      </w:pPr>
      <w:r>
        <w:rPr>
          <w:iCs/>
          <w:i/>
        </w:rPr>
        <w:t xml:space="preserve">об установлении федеральной социальной доплаты к пенсии;</w:t>
      </w:r>
    </w:p>
    <w:p>
      <w:pPr>
        <w:pStyle w:val="BodyText"/>
      </w:pPr>
      <w:r>
        <w:rPr>
          <w:iCs/>
          <w:i/>
        </w:rPr>
        <w:t xml:space="preserve">об отказе от НСУ;</w:t>
      </w:r>
    </w:p>
    <w:p>
      <w:pPr>
        <w:pStyle w:val="BodyText"/>
      </w:pPr>
      <w:r>
        <w:rPr>
          <w:iCs/>
          <w:i/>
        </w:rPr>
        <w:t xml:space="preserve">о предоставлении НСУ;</w:t>
      </w:r>
    </w:p>
    <w:p>
      <w:pPr>
        <w:pStyle w:val="BodyText"/>
      </w:pPr>
      <w:r>
        <w:rPr>
          <w:iCs/>
          <w:i/>
        </w:rPr>
        <w:t xml:space="preserve">о доставке социальных выплат;</w:t>
      </w:r>
    </w:p>
    <w:p>
      <w:pPr>
        <w:pStyle w:val="BodyText"/>
      </w:pPr>
      <w:r>
        <w:rPr>
          <w:iCs/>
          <w:i/>
        </w:rPr>
        <w:t xml:space="preserve">о возобновлении НСУ;</w:t>
      </w:r>
    </w:p>
    <w:p>
      <w:pPr>
        <w:pStyle w:val="BodyText"/>
      </w:pPr>
      <w:r>
        <w:rPr>
          <w:iCs/>
          <w:i/>
        </w:rPr>
        <w:t xml:space="preserve">об отзыве ранее поданных заявлений по НСУ;</w:t>
      </w:r>
    </w:p>
    <w:p>
      <w:pPr>
        <w:pStyle w:val="BodyText"/>
      </w:pPr>
      <w:r>
        <w:rPr>
          <w:iCs/>
          <w:i/>
        </w:rPr>
        <w:t xml:space="preserve">о компенсации в виде возмещения фактически произведенных расходов на оплату стоимости проезда к месту отдыха и обратно;</w:t>
      </w:r>
    </w:p>
    <w:p>
      <w:pPr>
        <w:pStyle w:val="BodyText"/>
      </w:pPr>
      <w:r>
        <w:rPr>
          <w:iCs/>
          <w:i/>
        </w:rPr>
        <w:t xml:space="preserve">о назначении ежемесячной компенсационной выплаты неработающему трудоспособному лицу, осуществляющему уход за нетрудоспособным гражданином;</w:t>
      </w:r>
    </w:p>
    <w:p>
      <w:pPr>
        <w:pStyle w:val="BodyText"/>
      </w:pPr>
      <w:r>
        <w:rPr>
          <w:iCs/>
          <w:i/>
        </w:rPr>
        <w:t xml:space="preserve">о согласии на осуществление неработающим трудоспособным лицом ухода за нетрудоспособным гражданином;</w:t>
      </w:r>
    </w:p>
    <w:p>
      <w:pPr>
        <w:pStyle w:val="BodyText"/>
      </w:pPr>
      <w:r>
        <w:rPr>
          <w:iCs/>
          <w:i/>
        </w:rPr>
        <w:t xml:space="preserve">о согласии на осуществление неработающим трудоспособным лицом ухода за ребенком-инвалидом в возрасте до 18 лет или инвалида с детства I группы;</w:t>
      </w:r>
    </w:p>
    <w:p>
      <w:pPr>
        <w:pStyle w:val="BodyText"/>
      </w:pPr>
      <w:r>
        <w:rPr>
          <w:iCs/>
          <w:i/>
        </w:rPr>
        <w:t xml:space="preserve">о назначении ежемесячной выплаты неработающему трудоспособному лицу, осуществляющему уход за ребенком-инвалидом в возрасте до 18 лет или инвалидом с детства I группы;</w:t>
      </w:r>
    </w:p>
    <w:p>
      <w:pPr>
        <w:pStyle w:val="BodyText"/>
      </w:pPr>
      <w:r>
        <w:rPr>
          <w:iCs/>
          <w:i/>
        </w:rPr>
        <w:t xml:space="preserve">о переводе ежемесячной денежной выплаты с одного основания на другое;</w:t>
      </w:r>
    </w:p>
    <w:p>
      <w:pPr>
        <w:pStyle w:val="BodyText"/>
      </w:pPr>
      <w:r>
        <w:rPr>
          <w:iCs/>
          <w:i/>
        </w:rPr>
        <w:t xml:space="preserve">об отказе от получения ежемесячной денежной выплаты;</w:t>
      </w:r>
    </w:p>
    <w:p>
      <w:pPr>
        <w:pStyle w:val="BodyText"/>
      </w:pPr>
      <w:r>
        <w:rPr>
          <w:iCs/>
          <w:i/>
        </w:rPr>
        <w:t xml:space="preserve">о назначении ежемесячной доплаты к пенсии членам летных экипажей и работникам организаций угольной промышленности;</w:t>
      </w:r>
    </w:p>
    <w:p>
      <w:pPr>
        <w:pStyle w:val="BodyText"/>
      </w:pPr>
      <w:r>
        <w:rPr>
          <w:iCs/>
          <w:i/>
        </w:rPr>
        <w:t xml:space="preserve">о назначении дополнительного ежемесячного материального обеспечения за выдающиеся достижения и особые заслуги перед Российской Федерацией;</w:t>
      </w:r>
    </w:p>
    <w:p>
      <w:pPr>
        <w:pStyle w:val="BodyText"/>
      </w:pPr>
      <w:r>
        <w:rPr>
          <w:iCs/>
          <w:i/>
        </w:rPr>
        <w:t xml:space="preserve">о компенсации расходов, связанных с переездом из районов Крайнего Севера и приравненных к ним местностей, лицам, являющимся получателями страховых пенсий и (или) пенсий по государственному пенсионному обеспечению, и членам их семей.</w:t>
      </w:r>
    </w:p>
    <w:p>
      <w:pPr>
        <w:pStyle w:val="BodyText"/>
      </w:pPr>
      <w:r>
        <w:rPr>
          <w:iCs/>
          <w:i/>
          <w:bCs/>
          <w:b/>
        </w:rPr>
        <w:t xml:space="preserve">Получить информацию:</w:t>
      </w:r>
    </w:p>
    <w:p>
      <w:pPr>
        <w:pStyle w:val="BodyText"/>
      </w:pPr>
      <w:r>
        <w:rPr>
          <w:iCs/>
          <w:i/>
        </w:rPr>
        <w:t xml:space="preserve">об установленных социальных выплатах</w:t>
      </w:r>
    </w:p>
    <w:p>
      <w:pPr>
        <w:pStyle w:val="BodyText"/>
      </w:pPr>
      <w:r>
        <w:rPr>
          <w:iCs/>
          <w:i/>
          <w:bCs/>
          <w:b/>
        </w:rPr>
        <w:t xml:space="preserve">Заказать справку (выписку):</w:t>
      </w:r>
    </w:p>
    <w:p>
      <w:pPr>
        <w:pStyle w:val="BodyText"/>
      </w:pPr>
      <w:r>
        <w:rPr>
          <w:iCs/>
          <w:i/>
        </w:rPr>
        <w:t xml:space="preserve">об установленных социальных выплатах</w:t>
      </w:r>
    </w:p>
    <w:p>
      <w:pPr>
        <w:pStyle w:val="BodyText"/>
      </w:pPr>
      <w:r>
        <w:rPr>
          <w:iCs/>
          <w:i/>
          <w:bCs/>
          <w:b/>
        </w:rPr>
        <w:t xml:space="preserve">из Федерального регистра лиц, имеющих право на получение социальной помощи</w:t>
      </w:r>
    </w:p>
    <w:p>
      <w:pPr>
        <w:pStyle w:val="BodyText"/>
      </w:pPr>
      <w:r>
        <w:t xml:space="preserve">В разделе «</w:t>
      </w:r>
      <w:r>
        <w:rPr>
          <w:bCs/>
          <w:b/>
        </w:rPr>
        <w:t xml:space="preserve">Материнский (семейный) капитал — МСК»</w:t>
      </w:r>
      <w:r>
        <w:t xml:space="preserve">:</w:t>
      </w:r>
    </w:p>
    <w:p>
      <w:pPr>
        <w:pStyle w:val="BodyText"/>
      </w:pPr>
      <w:r>
        <w:rPr>
          <w:iCs/>
          <w:i/>
          <w:bCs/>
          <w:b/>
        </w:rPr>
        <w:t xml:space="preserve">Подать заявление:</w:t>
      </w:r>
    </w:p>
    <w:p>
      <w:pPr>
        <w:pStyle w:val="BodyText"/>
      </w:pPr>
      <w:r>
        <w:rPr>
          <w:iCs/>
          <w:i/>
        </w:rPr>
        <w:t xml:space="preserve">о выдаче государственного сертификата на МСК;</w:t>
      </w:r>
    </w:p>
    <w:p>
      <w:pPr>
        <w:pStyle w:val="BodyText"/>
      </w:pPr>
      <w:r>
        <w:rPr>
          <w:iCs/>
          <w:i/>
        </w:rPr>
        <w:t xml:space="preserve">о распоряжении средствами МСК;</w:t>
      </w:r>
    </w:p>
    <w:p>
      <w:pPr>
        <w:pStyle w:val="BodyText"/>
      </w:pPr>
      <w:r>
        <w:rPr>
          <w:iCs/>
          <w:i/>
        </w:rPr>
        <w:t xml:space="preserve">о распоряжении средствами МСК на ежемесячную выплату в связи с рождением (усыновлением) второго ребенка.</w:t>
      </w:r>
    </w:p>
    <w:p>
      <w:pPr>
        <w:pStyle w:val="BodyText"/>
      </w:pPr>
      <w:r>
        <w:rPr>
          <w:iCs/>
          <w:i/>
          <w:bCs/>
          <w:b/>
        </w:rPr>
        <w:t xml:space="preserve">Получить информацию:</w:t>
      </w:r>
    </w:p>
    <w:p>
      <w:pPr>
        <w:pStyle w:val="BodyText"/>
      </w:pPr>
      <w:r>
        <w:rPr>
          <w:iCs/>
          <w:i/>
        </w:rPr>
        <w:t xml:space="preserve">о размере материнского (семейного) капитала (его оставшейся части)</w:t>
      </w:r>
    </w:p>
    <w:p>
      <w:pPr>
        <w:pStyle w:val="BodyText"/>
      </w:pPr>
      <w:r>
        <w:rPr>
          <w:iCs/>
          <w:i/>
          <w:bCs/>
          <w:b/>
        </w:rPr>
        <w:t xml:space="preserve">Заказать справку (выписку):</w:t>
      </w:r>
    </w:p>
    <w:p>
      <w:pPr>
        <w:pStyle w:val="BodyText"/>
      </w:pPr>
      <w:r>
        <w:rPr>
          <w:iCs/>
          <w:i/>
        </w:rPr>
        <w:t xml:space="preserve">о размере материнского (семейного) капитала (его оставшейся части)</w:t>
      </w:r>
    </w:p>
    <w:p>
      <w:pPr>
        <w:pStyle w:val="BodyText"/>
      </w:pPr>
      <w:r>
        <w:rPr>
          <w:bCs/>
          <w:b/>
        </w:rPr>
        <w:t xml:space="preserve">В разделе «Гражданам, проживающим за границей»:</w:t>
      </w:r>
    </w:p>
    <w:p>
      <w:pPr>
        <w:pStyle w:val="BodyText"/>
      </w:pPr>
      <w:r>
        <w:rPr>
          <w:iCs/>
          <w:i/>
          <w:bCs/>
          <w:b/>
        </w:rPr>
        <w:t xml:space="preserve">Получить информацию:</w:t>
      </w:r>
    </w:p>
    <w:p>
      <w:pPr>
        <w:pStyle w:val="BodyText"/>
      </w:pPr>
      <w:r>
        <w:rPr>
          <w:iCs/>
          <w:i/>
        </w:rPr>
        <w:t xml:space="preserve">о назначении пенсии;</w:t>
      </w:r>
    </w:p>
    <w:p>
      <w:pPr>
        <w:pStyle w:val="BodyText"/>
      </w:pPr>
      <w:r>
        <w:rPr>
          <w:iCs/>
          <w:i/>
        </w:rPr>
        <w:t xml:space="preserve">о произведенных выплатах;</w:t>
      </w:r>
    </w:p>
    <w:p>
      <w:pPr>
        <w:pStyle w:val="BodyText"/>
      </w:pPr>
      <w:r>
        <w:rPr>
          <w:iCs/>
          <w:i/>
        </w:rPr>
        <w:t xml:space="preserve">о статусе направленных в ПФР документов.</w:t>
      </w:r>
    </w:p>
    <w:p>
      <w:pPr>
        <w:pStyle w:val="BodyText"/>
      </w:pPr>
      <w:r>
        <w:rPr>
          <w:iCs/>
          <w:i/>
          <w:bCs/>
          <w:b/>
        </w:rPr>
        <w:t xml:space="preserve">Заказать справку (выписку):</w:t>
      </w:r>
    </w:p>
    <w:p>
      <w:pPr>
        <w:pStyle w:val="BodyText"/>
      </w:pPr>
      <w:r>
        <w:rPr>
          <w:iCs/>
          <w:i/>
        </w:rPr>
        <w:t xml:space="preserve">о пенсии для граждан, проживающих за границей</w:t>
      </w:r>
    </w:p>
    <w:p>
      <w:pPr>
        <w:pStyle w:val="BodyText"/>
      </w:pPr>
      <w:r>
        <w:rPr>
          <w:iCs/>
          <w:i/>
        </w:rPr>
        <w:t xml:space="preserve">о выплатах для граждан, проживающих за границей.</w:t>
      </w:r>
    </w:p>
    <w:p>
      <w:pPr>
        <w:pStyle w:val="BodyText"/>
      </w:pPr>
      <w:r>
        <w:t xml:space="preserve">Кроме того, на сайте в этом же разделе «Личный кабинет гражданина»</w:t>
      </w:r>
      <w:r>
        <w:t xml:space="preserve"> </w:t>
      </w:r>
      <w:hyperlink r:id="rId20">
        <w:r>
          <w:rPr>
            <w:rStyle w:val="Hyperlink"/>
          </w:rPr>
          <w:t xml:space="preserve">https://es.pfrf.ru/</w:t>
        </w:r>
      </w:hyperlink>
      <w:r>
        <w:t xml:space="preserve"> </w:t>
      </w:r>
      <w:r>
        <w:t xml:space="preserve">можно записаться на прием, заказать справки и документы, найти Клиентскую службу, задать вопрос онлайн, сделать обращение, сформировать платежный документ.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http://severnoe-tushino.mos.ru/presscenter/news/detail/8148571.html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8148571.html" TargetMode="External" /><Relationship Type="http://schemas.openxmlformats.org/officeDocument/2006/relationships/hyperlink" Id="rId20" Target="https://es.pf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8148571.html" TargetMode="External" /><Relationship Type="http://schemas.openxmlformats.org/officeDocument/2006/relationships/hyperlink" Id="rId20" Target="https://es.pf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2025-02-15T12:51:05Z</dcterms:created>
  <dcterms:modified xsi:type="dcterms:W3CDTF">2025-02-15T12:51:05Z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