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нимание-участников-алкогольного-рынка"/>
    <w:p>
      <w:pPr>
        <w:pStyle w:val="Heading3"/>
      </w:pPr>
      <w:r>
        <w:t xml:space="preserve">Внимание участников алкогольного рынка!</w:t>
      </w:r>
    </w:p>
    <w:p>
      <w:pPr>
        <w:pStyle w:val="FirstParagraph"/>
      </w:pPr>
      <w:r>
        <w:t xml:space="preserve">04.10.2016</w:t>
      </w:r>
    </w:p>
    <w:p>
      <w:pPr>
        <w:pStyle w:val="BodyText"/>
      </w:pPr>
      <w:r>
        <w:rPr>
          <w:bCs/>
          <w:b/>
        </w:rPr>
        <w:t xml:space="preserve">С 1 по 20 октября 2016 года</w:t>
      </w:r>
      <w:r>
        <w:t xml:space="preserve"> </w:t>
      </w:r>
      <w:r>
        <w:t xml:space="preserve">проводится декларационная кампания</w:t>
      </w:r>
      <w:r>
        <w:t xml:space="preserve"> </w:t>
      </w:r>
      <w:r>
        <w:rPr>
          <w:bCs/>
          <w:b/>
        </w:rPr>
        <w:t xml:space="preserve">за 3 квартал 2016 года.</w:t>
      </w:r>
    </w:p>
    <w:p>
      <w:pPr>
        <w:pStyle w:val="BodyText"/>
      </w:pPr>
      <w:r>
        <w:t xml:space="preserve">Декларации об объеме розничной продажи алкогольной и спиртосодержащей продукции по форме 11, декларации об объеме розничной продажи пива и пивных напитков, сидра, пуаре, медовухи по форме 12 за 3 квартал 2016 года необходимо подать</w:t>
      </w:r>
      <w:r>
        <w:t xml:space="preserve"> </w:t>
      </w:r>
      <w:r>
        <w:rPr>
          <w:bCs/>
          <w:b/>
        </w:rPr>
        <w:t xml:space="preserve">до 20 октября 2016 года</w:t>
      </w:r>
      <w:r>
        <w:t xml:space="preserve">.</w:t>
      </w:r>
    </w:p>
    <w:p>
      <w:pPr>
        <w:pStyle w:val="BodyText"/>
      </w:pPr>
      <w:r>
        <w:t xml:space="preserve">Организации, осуществляющие розничную продажу алкогольной и спиртосодержащей непищевой продукции, пива и пивных напитков сидра, пуаре, медовухи и зарегистрированные на территории города Москвы представляют декларации по форме 11 и 12</w:t>
      </w:r>
      <w:r>
        <w:t xml:space="preserve"> </w:t>
      </w:r>
      <w:r>
        <w:rPr>
          <w:bCs/>
          <w:b/>
        </w:rPr>
        <w:t xml:space="preserve">исключительно в форме электронного документа</w:t>
      </w:r>
      <w:r>
        <w:t xml:space="preserve">,</w:t>
      </w:r>
      <w:r>
        <w:t xml:space="preserve"> </w:t>
      </w:r>
      <w:r>
        <w:rPr>
          <w:u w:val="single"/>
          <w:bCs/>
          <w:b/>
        </w:rPr>
        <w:t xml:space="preserve">на региональную площадку города Москвы</w:t>
      </w:r>
      <w:r>
        <w:rPr>
          <w:bCs/>
          <w:b/>
        </w:rPr>
        <w:t xml:space="preserve"> </w:t>
      </w:r>
      <w:r>
        <w:rPr>
          <w:bCs/>
          <w:b/>
        </w:rPr>
        <w:t xml:space="preserve">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Обращаем внимание,</w:t>
      </w:r>
      <w:r>
        <w:t xml:space="preserve"> </w:t>
      </w:r>
      <w:r>
        <w:t xml:space="preserve">что представление деклараций является прямой обязанностью юридического лица, имеющего действующую лицензию на розничную продажу алкогольной продукции,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 Для производителей других государств — членов Таможенного союза, указывается регистрационные (идентификационные, учетные) номера налогоплательщиков.</w:t>
      </w:r>
    </w:p>
    <w:p>
      <w:pPr>
        <w:pStyle w:val="BodyText"/>
      </w:pPr>
      <w:r>
        <w:t xml:space="preserve">Организациями, имевшими в отчетном периоде действующие лицензии, декларации представляются в установленном действующим законодательством порядке, при отсутствии в отчетном периоде оборота алкогольной продукции, в декларациях указываются нулевые показатели.</w:t>
      </w:r>
    </w:p>
    <w:p>
      <w:pPr>
        <w:pStyle w:val="BodyText"/>
      </w:pPr>
      <w:r>
        <w:t xml:space="preserve">В связи с отсутствием автоматической возможности гарантированно определять место регистрации, организациям и индивидуальным предпринимателям предоставлена возможность самостоятельно определять регион принадлежности,</w:t>
      </w:r>
      <w:r>
        <w:t xml:space="preserve"> </w:t>
      </w:r>
      <w:r>
        <w:rPr>
          <w:bCs/>
          <w:b/>
        </w:rP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За нарушение требований законодательства в части непредставления деклараций, предусмотрены следующие меры ответственности.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</w:t>
      </w:r>
    </w:p>
    <w:p>
      <w:pPr>
        <w:pStyle w:val="BodyText"/>
      </w:pPr>
      <w:r>
        <w:t xml:space="preserve">Согласно требованиям п.3 ст. 20 Федерального закона от 22.11.1995 г. № 171-ФЗ 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</w:t>
      </w:r>
    </w:p>
    <w:p>
      <w:pPr>
        <w:pStyle w:val="BodyText"/>
      </w:pPr>
      <w:r>
        <w:t xml:space="preserve">Основанием для отказа в предоставлении государственной услуги при продлении/переоформлении лицензии, согласно п.9 статьи 19 171 Федерального закона, п.2.21.2. Административного регламента, утвержденного постановлением Правительства Москвы от 21.02.2012 №59-ПП, является, в том числе несоответствие заявителя иным лицензионным требованиям, а именно искажение и (или) непредставление в установленные сроки деклараций.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http://severnoe-tushino.mos.ru/presscenter/news/detail/3883458.html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3883458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3883458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2025-03-03T21:59:01Z</dcterms:created>
  <dcterms:modified xsi:type="dcterms:W3CDTF">2025-03-03T21:59:01Z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