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21b08e7b86f75ddd15b5e74107cd6c5f051c4"/>
    <w:p>
      <w:pPr>
        <w:pStyle w:val="Heading3"/>
      </w:pPr>
      <w:r>
        <w:t xml:space="preserve">Декларационная кампания для участников алкогольного рынка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rPr>
          <w:bCs/>
          <w:b/>
        </w:rPr>
        <w:t xml:space="preserve">С 1 по 20 апреля 2016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1 квартал 2016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1 квартал 2016 года необходимо подать</w:t>
      </w:r>
      <w:r>
        <w:t xml:space="preserve"> </w:t>
      </w:r>
      <w:r>
        <w:rPr>
          <w:bCs/>
          <w:b/>
        </w:rPr>
        <w:t xml:space="preserve">до 20 апреля 2016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пива и пивных напитков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http://severnoe-tushino.mos.ru/presscenter/news/detail/2778079.html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778079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778079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2025-02-11T18:28:47Z</dcterms:created>
  <dcterms:modified xsi:type="dcterms:W3CDTF">2025-02-11T18:28:47Z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