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9084ae29f1440c7f0f03f783f7d783fb38ba4"/>
    <w:p>
      <w:pPr>
        <w:pStyle w:val="Heading3"/>
      </w:pPr>
      <w:r>
        <w:t xml:space="preserve">Информация о социальных выплатах за март 2016 года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t xml:space="preserve">Отдел социальной защиты населения по районам Северное и Южное Тушино сообщает, что выплата (доставка) городских доплат к пенсиям, пособий и других социальных выплат за март 2016 года будет производиться по следующему графику:</w:t>
      </w:r>
    </w:p>
    <w:p>
      <w:pPr>
        <w:pStyle w:val="BodyText"/>
      </w:pPr>
      <w:r>
        <w:t xml:space="preserve">3 марта 2016 года – за 3 и 5 марта;</w:t>
      </w:r>
    </w:p>
    <w:p>
      <w:pPr>
        <w:pStyle w:val="BodyText"/>
      </w:pPr>
      <w:r>
        <w:t xml:space="preserve">4 марта 2016 года – за 4 и 6 марта;</w:t>
      </w:r>
    </w:p>
    <w:p>
      <w:pPr>
        <w:pStyle w:val="BodyText"/>
      </w:pPr>
      <w:r>
        <w:t xml:space="preserve">5 марта 2016 года – за 7 и 8 марта;</w:t>
      </w:r>
    </w:p>
    <w:p>
      <w:pPr>
        <w:pStyle w:val="BodyText"/>
      </w:pPr>
      <w:r>
        <w:t xml:space="preserve">с 9 по 14 марта 2016 года – по установленному графику;</w:t>
      </w:r>
    </w:p>
    <w:p>
      <w:pPr>
        <w:pStyle w:val="BodyText"/>
      </w:pPr>
      <w:r>
        <w:t xml:space="preserve">15 марта 2016 года – за 15 и 16 марта;</w:t>
      </w:r>
    </w:p>
    <w:p>
      <w:pPr>
        <w:pStyle w:val="BodyText"/>
      </w:pPr>
      <w:r>
        <w:t xml:space="preserve">16 марта 2016 года – за 17 и 18 марта.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http://severnoe-tushino.mos.ru/presscenter/news/detail/2527727.html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27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27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2025-01-17T09:38:59Z</dcterms:created>
  <dcterms:modified xsi:type="dcterms:W3CDTF">2025-01-17T09:38:59Z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