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телефон-доверия-для-детей-и-родителей"/>
    <w:p>
      <w:pPr>
        <w:pStyle w:val="Heading3"/>
      </w:pPr>
      <w:r>
        <w:t xml:space="preserve">Телефон доверия для детей и родителей</w:t>
      </w:r>
    </w:p>
    <w:p>
      <w:pPr>
        <w:pStyle w:val="FirstParagraph"/>
      </w:pPr>
      <w:r>
        <w:t xml:space="preserve">30.10.2015</w:t>
      </w:r>
    </w:p>
    <w:p>
      <w:pPr>
        <w:pStyle w:val="BodyText"/>
      </w:pPr>
      <w:r>
        <w:drawing>
          <wp:inline>
            <wp:extent cx="1743456" cy="24384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ernoe-tushino.mos.ru/www/Novosti/051%20реклама%2026%2010%202015%207%20вариант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456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http://severnoe-tushino.mos.ru/presscenter/news/detail/2270239.html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22702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22702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2025-02-16T16:57:46Z</dcterms:created>
  <dcterms:modified xsi:type="dcterms:W3CDTF">2025-02-16T16:57:46Z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