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8ed38c6e8a086e10ad1be0e5ac0b4b4cb5d30"/>
    <w:p>
      <w:pPr>
        <w:pStyle w:val="Heading3"/>
      </w:pPr>
      <w:r>
        <w:t xml:space="preserve">Вниманию участников алкогольного рынка! С 1 по 20 июля проводится декларационная кампания!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bookmarkStart w:id="20" w:name="X1207a264b4c9f4df21fde20366a046b31aef217"/>
      <w:bookmarkEnd w:id="20"/>
      <w:r>
        <w:rPr>
          <w:u w:val="single"/>
          <w:bCs/>
          <w:b/>
        </w:rPr>
        <w:t xml:space="preserve">Вниманию участников алкогольного рынка!</w:t>
      </w:r>
    </w:p>
    <w:p>
      <w:pPr>
        <w:pStyle w:val="BodyText"/>
      </w:pPr>
      <w:r>
        <w:rPr>
          <w:bCs/>
          <w:b/>
        </w:rPr>
        <w:t xml:space="preserve">С 1 по 20 июля 2015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2 квартал 2015 года.</w:t>
      </w:r>
    </w:p>
    <w:p>
      <w:pPr>
        <w:pStyle w:val="BodyText"/>
      </w:pPr>
      <w:r>
        <w:t xml:space="preserve">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пуаре, медовухи по форме 12 за 2 квартал 2015 года необходимо подать</w:t>
      </w:r>
      <w:r>
        <w:t xml:space="preserve"> </w:t>
      </w:r>
      <w:r>
        <w:rPr>
          <w:bCs/>
          <w:b/>
        </w:rPr>
        <w:t xml:space="preserve">до 20 июля 2015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и спиртосодержащей непищевой продукции, пива и пивных напитков сидра, пуаре, медовухи и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 формат которого утвержден приказом Росалкогольрегулирования от 05 августа 2013 г. №198 на региональную площадку города Москвы</w:t>
      </w:r>
      <w: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Декларации в форме электронного документа подписываются усиленной квалифицированной электронной подписью, сертификат ключа проверки которой выдан удостоверяющим центром, аккредитованным Минкомсвязи России. Перечень аккредитованных удостоверяющих центров опубликован на сайте</w:t>
      </w:r>
      <w:r>
        <w:t xml:space="preserve"> </w:t>
      </w:r>
      <w:hyperlink r:id="rId22">
        <w:r>
          <w:rPr>
            <w:rStyle w:val="Hyperlink"/>
          </w:rPr>
          <w:t xml:space="preserve">http://minsvyaz.ru/ru/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Обращаем внимание, 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rPr>
          <w:bCs/>
          <w:b/>
        </w:rPr>
        <w:t xml:space="preserve"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принадлежности. Особенно это касается организаций, которые сменили принадлежность с 50 региона на 77.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http://severnoe-tushino.mos.ru/presscenter/news/detail/1988464.html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nsvyaz.ru/ru/" TargetMode="External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988464.html" TargetMode="External" /><Relationship Type="http://schemas.openxmlformats.org/officeDocument/2006/relationships/hyperlink" Id="rId21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nsvyaz.ru/ru/" TargetMode="External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988464.html" TargetMode="External" /><Relationship Type="http://schemas.openxmlformats.org/officeDocument/2006/relationships/hyperlink" Id="rId21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2025-02-17T08:13:13Z</dcterms:created>
  <dcterms:modified xsi:type="dcterms:W3CDTF">2025-02-17T08:13:13Z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