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34adffda29e69056b6ffaae7eb5506046e65a"/>
    <w:p>
      <w:pPr>
        <w:pStyle w:val="Heading3"/>
      </w:pPr>
      <w:r>
        <w:t xml:space="preserve">Встреча главы управы с жителями состоится 17 июня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drawing>
          <wp:inline>
            <wp:extent cx="2211074" cy="14679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Novosti/Данцевич%20офиц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074" cy="14679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жители района Северное Тушино!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на встречу с главой управы района Северное Тушино города Москвы Данцевичем Николаем Юрьевичем.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Тема встречи:</w:t>
      </w:r>
      <w:r>
        <w:t xml:space="preserve"> </w:t>
      </w:r>
      <w:r>
        <w:t xml:space="preserve">«О размещении парковок автотранспорта на территории района».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Встреча состоится 17 июня  в 19.00.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проведения мероприятия: ул. Фомичевой, д. 1, корп. 1 (ГБОУ лицей №1571).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http://severnoe-tushino.mos.ru/presscenter/news/detail/1928051.html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928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928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2025-02-10T07:08:43Z</dcterms:created>
  <dcterms:modified xsi:type="dcterms:W3CDTF">2025-02-10T07:08:43Z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