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33bed439ecdfc20a1820debf94f3c76584a7dd"/>
    <w:p>
      <w:pPr>
        <w:pStyle w:val="Heading3"/>
      </w:pPr>
      <w:r>
        <w:t xml:space="preserve">Страховая часть трудовой пенсии по старости военнослужащим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Многие военнослужащие, становясь пенсионерами в возрасте 40 - 50 лет, продолжают после увольнения с военной службы трудовую деятельность в качестве наемных работников на должностях, не относящихся к военной службе. В этом случае работодатель производит за него денежные отчисления на страховую (и накопительную) часть трудовой пенсии по старости.</w:t>
      </w:r>
    </w:p>
    <w:p>
      <w:pPr>
        <w:pStyle w:val="BodyText"/>
      </w:pPr>
      <w:r>
        <w:t xml:space="preserve">В результате на индивидуальном лицевом счете военного пенсионера образуется пенсионный капитал, который в соответствии с законом от 22.07.2008 г. № 156-ФЗ «О внесении изменений в отдельные законодательные акты Российской Федерации по вопросам пенсионного обеспечения»), в случае наступления необходимых условий, выплачивается ему в качестве страховой части трудовой пенсии по старости за исключением ее фиксированного базового размера.</w:t>
      </w:r>
    </w:p>
    <w:p>
      <w:pPr>
        <w:pStyle w:val="BodyText"/>
      </w:pPr>
      <w:r>
        <w:t xml:space="preserve">Страховая часть трудовой пенсии по старости военным пенсионерам назначается при соблюдении следующих условий:</w:t>
      </w:r>
    </w:p>
    <w:p>
      <w:pPr>
        <w:pStyle w:val="BodyText"/>
      </w:pPr>
      <w:r>
        <w:t xml:space="preserve">• достижение общеустановленного пенсионного возраста: 55 лет и 60 лет (для женщин и мужчин соответственно);</w:t>
      </w:r>
    </w:p>
    <w:p>
      <w:pPr>
        <w:pStyle w:val="BodyText"/>
      </w:pPr>
      <w:r>
        <w:t xml:space="preserve">• наличие страхового стажа продолжительностью не менее 5 лет, не учтенного при назначении пенсии по линии силового ведомства;</w:t>
      </w:r>
    </w:p>
    <w:p>
      <w:pPr>
        <w:pStyle w:val="BodyText"/>
      </w:pPr>
      <w:r>
        <w:t xml:space="preserve">• наличие установленной пенсии за выслугу лет или по инвалидности, предусмотренных Законом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</w:t>
      </w:r>
      <w:r>
        <w:softHyphen/>
      </w:r>
      <w:r>
        <w:t xml:space="preserve">исполнительной системы, и их семей»;</w:t>
      </w:r>
    </w:p>
    <w:p>
      <w:pPr>
        <w:pStyle w:val="BodyText"/>
      </w:pPr>
      <w:r>
        <w:t xml:space="preserve">Отдельным категориям военных пенсионеров страховая часть трудовой пенсии по старости назначается ранее достижения указанного возраста при соблюдении условий для досрочного назначения трудовой пенсии по старости.</w:t>
      </w:r>
    </w:p>
    <w:p>
      <w:pPr>
        <w:pStyle w:val="BodyText"/>
      </w:pPr>
      <w:r>
        <w:t xml:space="preserve">По общему правилу страховая часть трудовой пенсии по старости назначается со дня обращения за ней, но не ранее чем со дня возникновения права на указанную часть трудовой пенсии.</w:t>
      </w:r>
    </w:p>
    <w:p>
      <w:pPr>
        <w:pStyle w:val="BodyText"/>
      </w:pPr>
      <w:r>
        <w:t xml:space="preserve">Для назначения указанной части трудовой пенсии необходимо обратиться в территориальный орган ПФР с заявлением о назначении страховой части трудовой пенсии по старости и представить документы, необходимые для назначения указанной части пенсии:</w:t>
      </w:r>
    </w:p>
    <w:p>
      <w:pPr>
        <w:pStyle w:val="BodyText"/>
      </w:pPr>
      <w:r>
        <w:t xml:space="preserve">• паспорт;</w:t>
      </w:r>
    </w:p>
    <w:p>
      <w:pPr>
        <w:pStyle w:val="BodyText"/>
      </w:pPr>
      <w:r>
        <w:t xml:space="preserve">ГУ - Главное Управление ПФР №9 по г. Москве и Московской области, тел.: 8 (499) 190-43-24 Начальник Главного управления Л. С. Тарасова</w:t>
      </w:r>
    </w:p>
    <w:p>
      <w:pPr>
        <w:pStyle w:val="BodyText"/>
      </w:pPr>
      <w:r>
        <w:t xml:space="preserve">Главное Управление ПФР №9 по г. Москве и Московской области напоминает, что 1 октября начался прием от работодателей Единой формы отчетности в ПФР за третий квартал 2014 года.</w:t>
      </w:r>
    </w:p>
    <w:p>
      <w:pPr>
        <w:pStyle w:val="BodyText"/>
      </w:pPr>
      <w:r>
        <w:t xml:space="preserve">Единая форма объединяет в себя отчетность по начисленным и уплаченным страховым взносам на ОПС и на ОМС в целом по организации и сведения индивидуального персонифицированного учета по каждому застрахованному лицу. Последний день отчетной кампании - 17 ноября 2014 года. В отношении плательщиков страховых взносов, нарушивших сроки предоставления отчетности, законодательство предусматривает применение штрафных санкций.</w:t>
      </w:r>
    </w:p>
    <w:p>
      <w:pPr>
        <w:pStyle w:val="BodyText"/>
      </w:pPr>
      <w:r>
        <w:t xml:space="preserve">Единая форма отчетности и порядок ее заполнения размещены на сайте Пенсионного фонда</w:t>
      </w:r>
      <w:r>
        <w:t xml:space="preserve"> </w:t>
      </w:r>
      <w:hyperlink r:id="rId20">
        <w:r>
          <w:rPr>
            <w:rStyle w:val="Hyperlink"/>
          </w:rPr>
          <w:t xml:space="preserve">www.pfrf.ru</w:t>
        </w:r>
      </w:hyperlink>
      <w:r>
        <w:t xml:space="preserve"> </w:t>
      </w:r>
      <w:r>
        <w:t xml:space="preserve">в разделе «Работодателям», в специализированных бухгалтерских системах, а также в «Кабинете плательщика страховых взносов».</w:t>
      </w:r>
    </w:p>
    <w:p>
      <w:pPr>
        <w:pStyle w:val="BodyText"/>
      </w:pPr>
      <w:r>
        <w:t xml:space="preserve">Помимо этого на сайте ПФР в свободном доступе размещены программы для подготовки и проверки отчетности (Документы ПУ-5, Spu_orb, CheckXML) которые в значительной степени облегчают процесс подготовки и сдачи отчетности для плательщиков страховых взносов. Переход к единой форме отчетности осуществлен для снижения административной нагрузки на плательщиков страховых взносов. Она позволит плательщикам страховых взносов обеспечить представление сведений о начисленных и уплаченных страховых взносов целом по организации и сведений персонифицированного учета по застрахованным лицам, исключая их несоответствие.</w:t>
      </w:r>
    </w:p>
    <w:p>
      <w:pPr>
        <w:pStyle w:val="BodyText"/>
      </w:pPr>
      <w:r>
        <w:t xml:space="preserve">Напомним, основные изменения в отчетности с 2014г.:</w:t>
      </w:r>
    </w:p>
    <w:p>
      <w:pPr>
        <w:pStyle w:val="BodyText"/>
      </w:pPr>
      <w:r>
        <w:t xml:space="preserve">• В индивидуальных сведениях, представляемых страхователем не указывается сумма уплаченных страховых взносов;</w:t>
      </w:r>
    </w:p>
    <w:p>
      <w:pPr>
        <w:pStyle w:val="BodyText"/>
      </w:pPr>
      <w:r>
        <w:t xml:space="preserve">• Отражается уплата страховых взносов за периоды с 2014 года единым расчетным документом без выделения страховой и накопительной части (уплата на КБК страховой части);</w:t>
      </w:r>
    </w:p>
    <w:p>
      <w:pPr>
        <w:pStyle w:val="BodyText"/>
      </w:pPr>
      <w:r>
        <w:t xml:space="preserve">• Сведения о начисленных страховых взносах по каждому лицу указываются общей суммой, без разделения на накопительную и страховую части (выделение страховой и накопительной части с учетом возрастной категории застрахованного лица, принадлежности к гражданству и выбора варианта пенсионного обеспечения будет производиться Пенсионным фондом России по сведениям данных персонифицированного учета);</w:t>
      </w:r>
    </w:p>
    <w:p>
      <w:pPr>
        <w:pStyle w:val="BodyText"/>
      </w:pPr>
      <w:r>
        <w:t xml:space="preserve">• Если у сотрудника организации в отчетном периоде было две категории, на него заполняется одна общая форма раздела 6 (с указанием общей суммы начисленных страховых взносов);</w:t>
      </w:r>
    </w:p>
    <w:p>
      <w:pPr>
        <w:pStyle w:val="BodyText"/>
      </w:pPr>
      <w:r>
        <w:t xml:space="preserve">• При наличии у сотрудников организации в отчетном периоде разных типов договора, на него заполняется одна общая форма раздела 6.8 (указывается единый период стажа - отсутствует реквизит «тип договора»);</w:t>
      </w:r>
    </w:p>
    <w:p>
      <w:pPr>
        <w:pStyle w:val="BodyText"/>
      </w:pPr>
      <w:r>
        <w:t xml:space="preserve">• Сведения с разными типами форм («исходные», «корректирующие», «отменяющие») комплектуются в разные пачки;</w:t>
      </w:r>
    </w:p>
    <w:p>
      <w:pPr>
        <w:pStyle w:val="BodyText"/>
      </w:pPr>
      <w:r>
        <w:t xml:space="preserve">• Отражение задолженности по страховым взносам, доначисление и уплата страховых взносов за периоды 2010-2013годов;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Новый подраздел 2.4 формы отражает особенности уплаты страховых взносов по</w:t>
      </w:r>
    </w:p>
    <w:p>
      <w:pPr>
        <w:pStyle w:val="BodyText"/>
      </w:pPr>
      <w:r>
        <w:t xml:space="preserve">дополнительным тарифам по результатам проведения специальной оценки</w:t>
      </w:r>
    </w:p>
    <w:p>
      <w:pPr>
        <w:pStyle w:val="BodyText"/>
      </w:pPr>
      <w:r>
        <w:t xml:space="preserve">условий труда.</w:t>
      </w:r>
    </w:p>
    <w:p>
      <w:pPr>
        <w:pStyle w:val="BodyText"/>
      </w:pPr>
      <w:r>
        <w:t xml:space="preserve">Сроки сдачи отчетности не изменились. Плательщиком страховых взносов по- прежнему необходимо представлять отчетность не позднее 15-го числа второго календарного месяца, следующего за отчетным периодом (кварталом, полугодием, девятью месяцами и календарным годом).</w:t>
      </w:r>
    </w:p>
    <w:p>
      <w:pPr>
        <w:pStyle w:val="BodyText"/>
      </w:pPr>
      <w:r>
        <w:t xml:space="preserve">Обращаем внимание на основные ошибки, допускаемые страхователями при составлении отчетности:</w:t>
      </w:r>
    </w:p>
    <w:p>
      <w:pPr>
        <w:pStyle w:val="BodyText"/>
      </w:pPr>
      <w:r>
        <w:t xml:space="preserve">• Подраздел 6.4. «Сведения о сумме выплат и иных вознаграждений, начисленных в пользу физического лица», строка 400 должна быть заполнена нарастающим итогом с начала отчетного периода;</w:t>
      </w:r>
    </w:p>
    <w:p>
      <w:pPr>
        <w:pStyle w:val="BodyText"/>
      </w:pPr>
      <w:r>
        <w:t xml:space="preserve">• Подраздел 2.1 «Расчет страховых взносов по тарифу» строка 207 графа 3 должна быть заполнена нарастающим итогом с начала отчетного периода (с января). На титульном листе количество застрахованных лиц также заполняется нарастающим итогом и (равно сумме 3 граф строки 207 всех разделов 2.1.);</w:t>
      </w:r>
    </w:p>
    <w:p>
      <w:pPr>
        <w:pStyle w:val="BodyText"/>
      </w:pPr>
      <w:r>
        <w:t xml:space="preserve">• Некорректное заполнение строк 140-143 раздела 1 «Расчет по начисленным и уплаченным страховым взносам»: не указана уплата задолженности, а также суммы поступившие в результате уточнения (зачета), либо в эти строки включены суммы, не входящие в расчет - пени, штрафы.</w:t>
      </w:r>
    </w:p>
    <w:p>
      <w:pPr>
        <w:pStyle w:val="BodyText"/>
      </w:pPr>
      <w:r>
        <w:t xml:space="preserve">С целью снижения трудозатрат при подготовке сведений по обязательному пенсионному страхованию, удобства сдачи отчетности, установления защищенного документооборота предлагаем воспользоваться услугой предоставления сведений в ПФР в электронной форме по телекоммуникационным каналам связи, с использованием электронной цифровой подписи и привлечением действующих на территории г. Москвы и Московской области организаций, предоставляющих услуги Удостоверяющих центров.</w:t>
      </w:r>
    </w:p>
    <w:p>
      <w:pPr>
        <w:pStyle w:val="BodyText"/>
      </w:pPr>
      <w:r>
        <w:t xml:space="preserve">Дополнительную информацию по вопросам перехода на электронный документооборот Вы можем получить по телефону 8 (499) 190-41-39 или обратившись по адресу: ул. Щукинская, д. 12, каб. 508.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страхователи!</w:t>
      </w:r>
    </w:p>
    <w:p>
      <w:pPr>
        <w:pStyle w:val="BodyText"/>
      </w:pPr>
      <w:r>
        <w:t xml:space="preserve">В настоящее время Пенсионным фондом Российской Федерации проводится подготовительные мероприятия по информированию застрахованных лиц о пенсионных правах, сформированных в соответствии с Федеральным законом от 28 декабря 2013г. №400-ФЗ «О страховых взносах».</w:t>
      </w:r>
    </w:p>
    <w:p>
      <w:pPr>
        <w:pStyle w:val="BodyText"/>
      </w:pPr>
      <w:r>
        <w:t xml:space="preserve">В лицевых счетах некоторых работников ваших организаций отсутствует информация о трудовом стаже, приобретенном ими до 01.01.2002г.</w:t>
      </w:r>
    </w:p>
    <w:p>
      <w:pPr>
        <w:pStyle w:val="BodyText"/>
      </w:pPr>
      <w:r>
        <w:t xml:space="preserve">В связи с этим, в целях обеспечения пенсионных прав данных лиц, предлагаем представить в территориальное управление ПФР по месту регистрации форму СЗВ-К «Сведения о трудовом стаже».</w:t>
      </w:r>
    </w:p>
    <w:p>
      <w:pPr>
        <w:pStyle w:val="BodyText"/>
      </w:pPr>
      <w:r>
        <w:t xml:space="preserve">Порядок заполнения данной формы определен Постановлением Правления ПФР от 31 июля 2006г. №192п «О формах документов индивидуального (персонифицированного) учета в системе обязательного пенсионного страхования и Инструкция по их заполнению».</w:t>
      </w:r>
    </w:p>
    <w:p>
      <w:pPr>
        <w:pStyle w:val="BodyText"/>
      </w:pPr>
      <w:r>
        <w:t xml:space="preserve">Для подготовки документа в электронном виде необходимо использовать бесплатный программный продукт «Документы ПУ5», разработанный Отделением ПФР по Республике Коми, который размещен на сайте Пенсионного фонда РФ по г. Москве и Московской области</w:t>
      </w:r>
      <w:r>
        <w:t xml:space="preserve"> </w:t>
      </w:r>
      <w:hyperlink r:id="rId21">
        <w:r>
          <w:rPr>
            <w:rStyle w:val="Hyperlink"/>
          </w:rPr>
          <w:t xml:space="preserve">http://www.Dfrf/ot moscow/</w:t>
        </w:r>
      </w:hyperlink>
      <w:r>
        <w:t xml:space="preserve"> </w:t>
      </w:r>
      <w:r>
        <w:t xml:space="preserve">в разделе «Работодателям региона \ Персонифицированный учет \ Программное обеспечение персонифицированного учета».</w:t>
      </w:r>
    </w:p>
    <w:p>
      <w:pPr>
        <w:pStyle w:val="BodyText"/>
      </w:pPr>
      <w:r>
        <w:t xml:space="preserve">Форма СЗВ-К должна быть сформирована в формате 4.0</w:t>
      </w:r>
    </w:p>
    <w:p>
      <w:pPr>
        <w:pStyle w:val="BodyText"/>
      </w:pPr>
      <w:r>
        <w:t xml:space="preserve">Если Ваша организация осуществляет взаимодействие с территориальным управлением ПФР по телекоммуникационным каналам связи, необходимо направлять данные документы в рамках неформализованного электронного документооборота.</w:t>
      </w:r>
    </w:p>
    <w:p>
      <w:pPr>
        <w:pStyle w:val="BodyText"/>
      </w:pPr>
      <w:r>
        <w:t xml:space="preserve">Если по каким-либо причинам организация не располагает сведениями по этим застрахованным лицам (уволен, умер и т.д.) - ПРОСЬБА УВЕДОМИТЬ ГУ - Главное Управление Пенсионного Фонда №9 по г. Москве и Московской области.</w:t>
      </w:r>
    </w:p>
    <w:p>
      <w:pPr>
        <w:pStyle w:val="BodyText"/>
      </w:pPr>
      <w:r>
        <w:t xml:space="preserve">Для страхователей, зарегистрированных в муниципальных округах Северное Тушино, Южное Тушино, Покровское-Стрешнево, Митино и Куркино - сведения необходимо предоставить по адресу: Волоколамское ш., д. 60, корп.1, каб.6, тел.: 8 (499)720-40-18</w:t>
      </w:r>
    </w:p>
    <w:p>
      <w:pPr>
        <w:pStyle w:val="BodyText"/>
      </w:pPr>
      <w:r>
        <w:t xml:space="preserve">Для страхователей, зарегистрированных в муниципальных округах Строгино, Щукино, Хорошево-Мневники - отчетность необходимо предоставить по адресу: ул. Щукинская, д. 12, каб. 202, тел.: 8 (499) 190-70-83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страхователи!</w:t>
      </w:r>
    </w:p>
    <w:p>
      <w:pPr>
        <w:pStyle w:val="BodyText"/>
      </w:pPr>
      <w:r>
        <w:t xml:space="preserve">Главное Управление Пенсионного Фонда N99 по г. Москве и Московской области с целью снижения трудозатрат при подготовке сведений по обязательному пенсионному страхованию, удобства сдачи отчетности, установления защищенного документооборота предлагает воспользоваться услугой предоставления сведений в электронной форме по</w:t>
      </w:r>
    </w:p>
    <w:p>
      <w:pPr>
        <w:pStyle w:val="BodyText"/>
      </w:pPr>
      <w:r>
        <w:t xml:space="preserve">телекоммуникационным каналам связи, с использованием электронной цифровой подписи и привлечением действующих на территории г. Москвы и Московской области организаций, предоставляющих услуги Удостоверяющих центров.</w:t>
      </w:r>
    </w:p>
    <w:p>
      <w:pPr>
        <w:pStyle w:val="BodyText"/>
      </w:pPr>
      <w:r>
        <w:t xml:space="preserve">Данный способ предоставления отчетности обладает массой преимуществ:</w:t>
      </w:r>
    </w:p>
    <w:p>
      <w:pPr>
        <w:pStyle w:val="BodyText"/>
      </w:pPr>
      <w:r>
        <w:t xml:space="preserve">1. Можно предоставлять отчетность 7 дней в неделю, 24 часа в сутки;</w:t>
      </w:r>
    </w:p>
    <w:p>
      <w:pPr>
        <w:pStyle w:val="BodyText"/>
      </w:pPr>
      <w:r>
        <w:t xml:space="preserve">2. Отчетность гарантированно будет доставлена в Пенсионный фонд день в день и с точностью до секунды;</w:t>
      </w:r>
    </w:p>
    <w:p>
      <w:pPr>
        <w:pStyle w:val="BodyText"/>
      </w:pPr>
      <w:r>
        <w:t xml:space="preserve">3. Отправка отчетности через ТСК не требует наличия бумажного носителя;</w:t>
      </w:r>
    </w:p>
    <w:p>
      <w:pPr>
        <w:pStyle w:val="BodyText"/>
      </w:pPr>
      <w:r>
        <w:t xml:space="preserve">4. Можно не тратить время, стоя в очереди для сдачи отчетности.</w:t>
      </w:r>
    </w:p>
    <w:p>
      <w:pPr>
        <w:pStyle w:val="BodyText"/>
      </w:pPr>
      <w:r>
        <w:t xml:space="preserve">Для перехода на представление отчетности по ТКС вам необходимо заполнить и подписать с ПФР Соглашение об электронном документообороте и заключить договор с оператором связи.</w:t>
      </w:r>
    </w:p>
    <w:p>
      <w:pPr>
        <w:pStyle w:val="BodyText"/>
      </w:pPr>
      <w:r>
        <w:t xml:space="preserve">Бланк Заявления и Соглашения об электронном документообороте Вы можете получить по электронной почте, прислав заявку в произвольной форме по адресу au0916(S)pfrmo.ru.</w:t>
      </w:r>
    </w:p>
    <w:p>
      <w:pPr>
        <w:pStyle w:val="BodyText"/>
      </w:pPr>
      <w:r>
        <w:t xml:space="preserve">Дополнительно информацию по вопросам перехода на электронный документооборот Вы можете получить по телефону 8 (499) 190-41-39 или обратившись по адресу; ул. Щукинская; д. 12, каб. 508.</w:t>
      </w:r>
    </w:p>
    <w:p>
      <w:pPr>
        <w:pStyle w:val="BodyText"/>
      </w:pPr>
      <w:r>
        <w:t xml:space="preserve">Перечень операторов связи, оказывающих услуги по электронному документообороту находятся по адресу http:</w:t>
      </w:r>
      <w:hyperlink r:id="rId20">
        <w:r>
          <w:rPr>
            <w:rStyle w:val="Hyperlink"/>
          </w:rPr>
          <w:t xml:space="preserve">www.pfrf.ru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http://severnoe-tushino.mos.ru/presscenter/news/detail/1423863.html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423863.html" TargetMode="External" /><Relationship Type="http://schemas.openxmlformats.org/officeDocument/2006/relationships/hyperlink" Id="rId21" Target="http://www.dfrf/ot_moscow/" TargetMode="External" /><Relationship Type="http://schemas.openxmlformats.org/officeDocument/2006/relationships/hyperlink" Id="rId20" Target="http://www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423863.html" TargetMode="External" /><Relationship Type="http://schemas.openxmlformats.org/officeDocument/2006/relationships/hyperlink" Id="rId21" Target="http://www.dfrf/ot_moscow/" TargetMode="External" /><Relationship Type="http://schemas.openxmlformats.org/officeDocument/2006/relationships/hyperlink" Id="rId20" Target="http://www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2025-02-19T09:39:50Z</dcterms:created>
  <dcterms:modified xsi:type="dcterms:W3CDTF">2025-02-19T09:39:50Z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