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7b65d28900e09687fd9b9155c6c548fdb70689"/>
    <w:p>
      <w:pPr>
        <w:pStyle w:val="Heading3"/>
      </w:pPr>
      <w:r>
        <w:t xml:space="preserve">Выполнены работы по ремонту асфальтобетонного покрытия на Химкинском бульваре</w:t>
      </w:r>
    </w:p>
    <w:p>
      <w:pPr>
        <w:pStyle w:val="FirstParagraph"/>
      </w:pPr>
      <w:r>
        <w:t xml:space="preserve">27.10.2014</w:t>
      </w:r>
    </w:p>
    <w:p>
      <w:pPr>
        <w:pStyle w:val="BodyText"/>
      </w:pPr>
      <w:r>
        <w:t xml:space="preserve">Подрядной организацией ООО «Жилсервис» в соответствии с государственным контрактом № 021 на выполнение работ по благоустройству дворовых территорий района Северное Тушино в 2014 году по адресам: Химкинский бульвар, д.14, к.1 – д.16, к.1 выполнены работы по ремонту асфальтобетонного покры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тия на площади 1900 м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http://severnoe-tushino.mos.ru/presscenter/news/detail/1372230.html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372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1372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2025-08-06T00:04:06Z</dcterms:created>
  <dcterms:modified xsi:type="dcterms:W3CDTF">2025-08-06T00:04:06Z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