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амятка-для-трудовых-мигрантов"/>
    <w:p>
      <w:pPr>
        <w:pStyle w:val="Heading3"/>
      </w:pPr>
      <w:r>
        <w:t xml:space="preserve">Памятка для трудовых мигрантов</w:t>
      </w:r>
    </w:p>
    <w:p>
      <w:pPr>
        <w:pStyle w:val="FirstParagraph"/>
      </w:pPr>
      <w:r>
        <w:t xml:space="preserve">15.11.2024</w:t>
      </w:r>
    </w:p>
    <w:p>
      <w:pPr>
        <w:pStyle w:val="BodyText"/>
      </w:pPr>
      <w:hyperlink r:id="rId20">
        <w:r>
          <w:rPr>
            <w:rStyle w:val="Hyperlink"/>
          </w:rPr>
          <w:t xml:space="preserve">Памятка для трудовых мигрантов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http://severnoe-tushino.mos.ru/presscenter/news/detail/12662557.html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5;&#1072;&#1084;&#1103;&#1090;&#1082;&#1072;%20&#1040;5%20vector.pdf" TargetMode="Externa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presscenter/news/detail/126625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5;&#1072;&#1084;&#1103;&#1090;&#1082;&#1072;%20&#1040;5%20vector.pdf" TargetMode="Externa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presscenter/news/detail/126625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2025-02-16T12:07:26Z</dcterms:created>
  <dcterms:modified xsi:type="dcterms:W3CDTF">2025-02-16T12:07:26Z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