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165afeb5f35ccb6169b2f4245fd2441cb1161f"/>
    <w:p>
      <w:pPr>
        <w:pStyle w:val="Heading3"/>
      </w:pPr>
      <w:r>
        <w:t xml:space="preserve">Сменить страховщика пенсионных накоплений можно до 1 декабря</w:t>
      </w:r>
    </w:p>
    <w:p>
      <w:pPr>
        <w:pStyle w:val="FirstParagraph"/>
      </w:pPr>
      <w:r>
        <w:t xml:space="preserve">14.11.2023</w:t>
      </w:r>
    </w:p>
    <w:p>
      <w:pPr>
        <w:pStyle w:val="BodyText"/>
      </w:pPr>
      <w:r>
        <w:t xml:space="preserve">Сменить страховщика пенсионных накоплений можно до 1 декабря</w:t>
      </w:r>
    </w:p>
    <w:bookmarkEnd w:id="20"/>
    <w:bookmarkStart w:id="21" w:name="section"/>
    <w:p>
      <w:pPr>
        <w:pStyle w:val="Heading1"/>
      </w:pPr>
    </w:p>
    <w:bookmarkEnd w:id="21"/>
    <w:bookmarkStart w:id="27" w:name="ноября-2023-года"/>
    <w:p>
      <w:pPr>
        <w:pStyle w:val="Heading1"/>
      </w:pPr>
      <w:r>
        <w:t xml:space="preserve">07 ноября 2023 года</w:t>
      </w:r>
    </w:p>
    <w:p>
      <w:pPr>
        <w:pStyle w:val="FirstParagraph"/>
      </w:pPr>
      <w:r>
        <w:rPr>
          <w:bCs/>
          <w:b/>
        </w:rPr>
        <w:t xml:space="preserve">Филиал № 9 Отделения Фонда социального и пенсионного страхования Российской Федерации по г. Москве и Московской области</w:t>
      </w:r>
      <w:r>
        <w:t xml:space="preserve"> </w:t>
      </w:r>
      <w:r>
        <w:t xml:space="preserve">напоминает, что граждане, у которых формируются пенсионные накопления, в срок до 1 декабря имеют право сменить страховщика, который управляет денежными средствами: им может быть Социальный фонд России или негосударственные пенсионные фонды. Подать заявление о смене страховщика можно до 1 декабря текущего года. Директор Филиала Людмила Тарасова обращает внимание владельцев пенсионных накоплений, что «переводить средства без потерь инвестиционного дохода можно не чаще, чем один раз в 5 лет». Заявление на смену страховщика можно подать лично или через представителя в клиентской службе СФР. Владельцы усиленной квалифицированной электронной подписи, которая выдается удостоверяющими центрами, аккредитованными Минкомсвязью России, могут сделать это на портале Госуслуг, заполнив и подписав электронную форму уведомления. Если после подачи заявления о переходе гражданин по какой-то причине передумал, то до 31 декабря он может сообщить об отказе от смены страховщика на сайте Госуслуг или обратившись лично в клиентскую службу СФР по месту жительства. При отсутствии уведомления решение о переводе средств будет приниматься на основании ранее поданного заявления. Проверить информацию о поданных заявлениях, дате и способе их подачи, а также о вынесенном решении можно в личном кабинете гражданина на сайте СФР в разделе «Управление средствами пенсионных накоплений» или на портале Государственных услуг. Обращаем ваше внимание, что средства пенсионных накоплений формируются:</w:t>
      </w:r>
    </w:p>
    <w:p>
      <w:pPr>
        <w:pStyle w:val="BodyText"/>
      </w:pPr>
      <w:r>
        <w:t xml:space="preserve">- у работающих граждан 1967 года рождения и моложе за счет уплаченных работодателем страховых взносов в Пенсионный фонд России с 2002 по 2013 гг.;</w:t>
      </w:r>
    </w:p>
    <w:p>
      <w:pPr>
        <w:pStyle w:val="BodyText"/>
      </w:pPr>
      <w:r>
        <w:t xml:space="preserve">- у мужчин 1953-1966 годов рождения и женщин 1957-1966 годов рождения, чьи средства пенсионных накоплений формировались в 2002-2004 годах;</w:t>
      </w:r>
    </w:p>
    <w:p>
      <w:pPr>
        <w:pStyle w:val="BodyText"/>
      </w:pPr>
      <w:r>
        <w:t xml:space="preserve">- у участников Программы государственного софинансирования пенсии;</w:t>
      </w:r>
    </w:p>
    <w:p>
      <w:pPr>
        <w:pStyle w:val="BodyText"/>
      </w:pPr>
      <w:r>
        <w:t xml:space="preserve">- у тех, кто направил средства материнского капитала на формирование накопительной пенсии.</w:t>
      </w:r>
    </w:p>
    <w:p>
      <w:pPr>
        <w:pStyle w:val="BodyText"/>
      </w:pPr>
      <w:r>
        <w:drawing>
          <wp:inline>
            <wp:extent cx="2125249" cy="1323583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0e2/hqljwl1c2p5on7ilwdi0ck2jfxug830o/bv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249" cy="1323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http://severnoe-tushino.mos.ru/presscenter/news/detail/11978616.html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png" /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7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evernoe-tushino.mos.ru" TargetMode="External" /><Relationship Type="http://schemas.openxmlformats.org/officeDocument/2006/relationships/hyperlink" Id="rId25" Target="http://severnoe-tushino.mos.ru/presscenter/news/detail/1197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2025-08-06T04:46:57Z</dcterms:created>
  <dcterms:modified xsi:type="dcterms:W3CDTF">2025-08-06T04:46:57Z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