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96638a9d6557c90fcf0da7a0a72fb43d4165f"/>
    <w:p>
      <w:pPr>
        <w:pStyle w:val="Heading3"/>
      </w:pPr>
      <w:r>
        <w:t xml:space="preserve">Росгвардия приняла участие в обеспечении правопорядка на футбольных матчах в Москве.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rPr>
          <w:bCs/>
          <w:b/>
        </w:rPr>
        <w:t xml:space="preserve">Росгвардия приняла участие в обеспечении правопорядка на футбольных матчах в Москве</w:t>
      </w:r>
    </w:p>
    <w:p>
      <w:pPr>
        <w:pStyle w:val="BodyText"/>
      </w:pPr>
      <w:r>
        <w:rPr>
          <w:iCs/>
          <w:i/>
        </w:rPr>
        <w:t xml:space="preserve">Во взаимодействии с коллегами из других правоохранительных органов правопорядок и общественную безопасность в ходе футбольных матчей Российской Премьер-лиги между командами «Торпедо» - «Оренбург», «Спартак» - «Пари НН» и «Динамо» - «Локомотив» обеспечивали сотрудники и военнослужащие Главного управления Росгвардии по г. Москве.</w:t>
      </w:r>
    </w:p>
    <w:p>
      <w:pPr>
        <w:pStyle w:val="BodyText"/>
      </w:pPr>
      <w:r>
        <w:t xml:space="preserve">Экипажи вневедомственной охраны обеспечили общественный порядок и безопасность граждан. Сотрудники ОМОН «Меч» на транспорте обеспечили безопасность во время прибытия и убытия болельщиков на железнодорожных станциях и МЦК. Перед началом игры специалисты инженерно-технических групп ОМОН «Авангард» обследовали прилегающую к стадиону территорию.</w:t>
      </w:r>
    </w:p>
    <w:p>
      <w:pPr>
        <w:pStyle w:val="BodyText"/>
      </w:pPr>
      <w:r>
        <w:t xml:space="preserve">Нарушений общественного порядка в период проведения матчей не допущено. В общей сложности спортивные мероприятия посетили около 26 тысяч болельщиков.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23b/rrzzqgswqv1vdu7da1vebnwsrqrrd20m/WhatsApp-Image-2023_05_29-at-09.53.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http://severnoe-tushino.mos.ru/presscenter/news/detail/11616752.html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616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616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2025-08-06T00:04:04Z</dcterms:created>
  <dcterms:modified xsi:type="dcterms:W3CDTF">2025-08-06T00:04:04Z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