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тоимость-нсу-выросла"/>
    <w:p>
      <w:pPr>
        <w:pStyle w:val="Heading3"/>
      </w:pPr>
      <w:r>
        <w:t xml:space="preserve">Стоимость НСУ выросла</w:t>
      </w:r>
    </w:p>
    <w:p>
      <w:pPr>
        <w:pStyle w:val="FirstParagraph"/>
      </w:pPr>
      <w:r>
        <w:t xml:space="preserve">17.07.2014</w:t>
      </w:r>
    </w:p>
    <w:p>
      <w:pPr>
        <w:pStyle w:val="BodyText"/>
      </w:pPr>
      <w:r>
        <w:t xml:space="preserve">Государственное Учреждение – Главное Управление ПФР № 9 по г. Москве и Московской области информирует:</w:t>
      </w:r>
    </w:p>
    <w:p>
      <w:pPr>
        <w:pStyle w:val="BodyText"/>
      </w:pPr>
      <w:r>
        <w:t xml:space="preserve">Одновременно с индексацией ежемесячных денежных выплат с 1 апреля 2014 года на 5% увеличилась и сумма средств, которые направляются на предоставление получателю ЕДВ государственной социальной помощи в виде набора социальных услуг.</w:t>
      </w:r>
    </w:p>
    <w:p>
      <w:pPr>
        <w:pStyle w:val="BodyText"/>
      </w:pPr>
      <w:r>
        <w:t xml:space="preserve">По закону федеральные льготники, имеющие право на получение социальных услуг, имеют право выбора – получать социальные услуги в натуральной форме или в денежном эквиваленте. При этом законодательство предусматривает замену набора социальных услуг деньгами полностью либо частично.</w:t>
      </w:r>
    </w:p>
    <w:p>
      <w:pPr>
        <w:pStyle w:val="BodyText"/>
      </w:pPr>
      <w:r>
        <w:t xml:space="preserve">Так, с 1 апреля 2014 года на оплату предоставления гражданину набора социальных услуг направляется 881,63 рублей в месяц, в том числе:</w:t>
      </w:r>
    </w:p>
    <w:p>
      <w:pPr>
        <w:numPr>
          <w:ilvl w:val="0"/>
          <w:numId w:val="1001"/>
        </w:numPr>
        <w:pStyle w:val="Compact"/>
      </w:pPr>
      <w:r>
        <w:t xml:space="preserve">обеспечение необходимыми медикаментами − 679 рублей 05 рубля;</w:t>
      </w:r>
    </w:p>
    <w:p>
      <w:pPr>
        <w:numPr>
          <w:ilvl w:val="0"/>
          <w:numId w:val="1001"/>
        </w:numPr>
        <w:pStyle w:val="Compact"/>
      </w:pPr>
      <w:r>
        <w:t xml:space="preserve">предоставление путевки на санаторно-курортное лечение для профилактики основных заболеваний −105,05 рубля;</w:t>
      </w:r>
    </w:p>
    <w:p>
      <w:pPr>
        <w:numPr>
          <w:ilvl w:val="0"/>
          <w:numId w:val="1001"/>
        </w:numPr>
        <w:pStyle w:val="Compact"/>
      </w:pPr>
      <w:r>
        <w:t xml:space="preserve">бесплатный проезд на пригородном железнодорожном транспорте, а также на междугородном транспорте к месту лечения и обратно – 97,53 рубля.</w:t>
      </w:r>
    </w:p>
    <w:p>
      <w:pPr>
        <w:pStyle w:val="FirstParagraph"/>
      </w:pPr>
      <w:r>
        <w:t xml:space="preserve">Если гражданин уже подавал заявление об отказе от получения НСУ в натуральной форме и хочет получать денежный эквивалент и в последующие годы, то нет необходимости обращаться в Пенсионный фонд до тех пор, пока они не изменят своего решения.</w:t>
      </w:r>
    </w:p>
    <w:p>
      <w:pPr>
        <w:pStyle w:val="BodyText"/>
      </w:pPr>
      <w:r>
        <w:t xml:space="preserve">Если же гражданин поменял свое решение и хотят с 1 января следующего года опять воспользоваться набором социальных услуг или право на их получение появилось у них впервые, то до 1 октября нужно подать соответствующее заявление в Пенсионный фонд.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http://severnoe-tushino.mos.ru/presscenter/news/detail/1128674.html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1286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1286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2025-02-23T20:33:47Z</dcterms:created>
  <dcterms:modified xsi:type="dcterms:W3CDTF">2025-02-23T20:33:47Z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