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б-изменении-способа-доставки-пенсии"/>
    <w:p>
      <w:pPr>
        <w:pStyle w:val="Heading3"/>
      </w:pPr>
      <w:r>
        <w:t xml:space="preserve">Об изменении способа доставки пенсии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rPr>
          <w:bCs/>
          <w:b/>
        </w:rPr>
        <w:t xml:space="preserve">Об изменении способа доставки пенсии</w:t>
      </w:r>
    </w:p>
    <w:p>
      <w:pPr>
        <w:pStyle w:val="BodyText"/>
      </w:pPr>
      <w:r>
        <w:rPr>
          <w:bCs/>
          <w:b/>
        </w:rPr>
        <w:t xml:space="preserve">9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напоминает, что в случае необходимости пенсионер может изменить ранее определенный способ доставки пенсии.</w:t>
      </w:r>
    </w:p>
    <w:p>
      <w:pPr>
        <w:pStyle w:val="BodyText"/>
      </w:pPr>
      <w:r>
        <w:rPr>
          <w:iCs/>
          <w:i/>
        </w:rPr>
        <w:t xml:space="preserve">«Для изменения доставщика пенсии нужно подать в Пенсионный фонд соответствующее заявление, - уточняет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начальник Главного управления ПФР №9 Людмила Тарасова</w:t>
      </w:r>
      <w:r>
        <w:rPr>
          <w:iCs/>
          <w:i/>
        </w:rPr>
        <w:t xml:space="preserve"> </w:t>
      </w:r>
      <w:r>
        <w:rPr>
          <w:iCs/>
          <w:i/>
        </w:rPr>
        <w:t xml:space="preserve">– «Пенсионер может поменять банк на почту, почту на банк или один банк на другой».</w:t>
      </w:r>
    </w:p>
    <w:p>
      <w:pPr>
        <w:pStyle w:val="BodyText"/>
      </w:pPr>
      <w:r>
        <w:t xml:space="preserve">Подать заявление о смене способа доставки в Пенсионный фонд можно:</w:t>
      </w:r>
    </w:p>
    <w:p>
      <w:pPr>
        <w:pStyle w:val="BodyText"/>
      </w:pPr>
      <w:r>
        <w:t xml:space="preserve">o через</w:t>
      </w:r>
      <w:r>
        <w:t xml:space="preserve"> </w:t>
      </w:r>
      <w:hyperlink r:id="rId20">
        <w:r>
          <w:rPr>
            <w:rStyle w:val="Hyperlink"/>
          </w:rPr>
          <w:t xml:space="preserve">портал Госуслуг</w:t>
        </w:r>
      </w:hyperlink>
      <w:r>
        <w:t xml:space="preserve">;</w:t>
      </w:r>
    </w:p>
    <w:p>
      <w:pPr>
        <w:pStyle w:val="BodyText"/>
      </w:pPr>
      <w:r>
        <w:t xml:space="preserve">o через Личный кабинет гражданина на</w:t>
      </w:r>
      <w:r>
        <w:t xml:space="preserve"> </w:t>
      </w:r>
      <w:hyperlink r:id="rId21">
        <w:r>
          <w:rPr>
            <w:rStyle w:val="Hyperlink"/>
          </w:rPr>
          <w:t xml:space="preserve">сайте ПФР</w:t>
        </w:r>
      </w:hyperlink>
      <w:r>
        <w:t xml:space="preserve">;</w:t>
      </w:r>
    </w:p>
    <w:p>
      <w:pPr>
        <w:pStyle w:val="BodyText"/>
      </w:pPr>
      <w:r>
        <w:t xml:space="preserve">o лично в клиентских службах ПФР или офисах МФЦ;</w:t>
      </w:r>
    </w:p>
    <w:p>
      <w:pPr>
        <w:pStyle w:val="BodyText"/>
      </w:pPr>
      <w:r>
        <w:t xml:space="preserve">o также услуга доступна через работодателя и почтовое отправление.</w:t>
      </w:r>
    </w:p>
    <w:p>
      <w:pPr>
        <w:pStyle w:val="BodyText"/>
      </w:pPr>
      <w:r>
        <w:t xml:space="preserve">Получить дополнительную информацию по вопросам доставки пенсии можно по бесплатному номеру Единого контакт-центра взаимодействия с гражданами</w:t>
      </w:r>
      <w:r>
        <w:t xml:space="preserve"> </w:t>
      </w:r>
      <w:r>
        <w:rPr>
          <w:bCs/>
          <w:b/>
        </w:rPr>
        <w:t xml:space="preserve">8 800 600 00 00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Справочно:</w:t>
      </w:r>
      <w:r>
        <w:t xml:space="preserve"> </w:t>
      </w:r>
      <w:r>
        <w:rPr>
          <w:iCs/>
          <w:i/>
        </w:rPr>
        <w:t xml:space="preserve">Большинство заявителей воспользовались электронными сервисами, чтобы определить доставщика. Так, через личный кабинет на сайте ПФР было подано 43% заявлений, через портал госуслуг - 18%.</w:t>
      </w:r>
    </w:p>
    <w:p>
      <w:pPr>
        <w:pStyle w:val="BodyText"/>
      </w:pPr>
      <w:r>
        <w:drawing>
          <wp:inline>
            <wp:extent cx="5334000" cy="299370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f10/4oodu3dxi2nqfnmuhpviibsxera3e4ai/khzhezh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3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http://severnoe-tushino.mos.ru/presscenter/news/detail/10990592.html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990592.html" TargetMode="External" /><Relationship Type="http://schemas.openxmlformats.org/officeDocument/2006/relationships/hyperlink" Id="rId21" Target="https://es.pfrf.ru/znp/" TargetMode="External" /><Relationship Type="http://schemas.openxmlformats.org/officeDocument/2006/relationships/hyperlink" Id="rId20" Target="https://esia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990592.html" TargetMode="External" /><Relationship Type="http://schemas.openxmlformats.org/officeDocument/2006/relationships/hyperlink" Id="rId21" Target="https://es.pfrf.ru/znp/" TargetMode="External" /><Relationship Type="http://schemas.openxmlformats.org/officeDocument/2006/relationships/hyperlink" Id="rId20" Target="https://esia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2025-02-09T03:47:11Z</dcterms:created>
  <dcterms:modified xsi:type="dcterms:W3CDTF">2025-02-09T03:47:11Z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