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23be73f8e51bee4c69739d137caea77e6275d0"/>
    <w:p>
      <w:pPr>
        <w:pStyle w:val="Heading3"/>
      </w:pPr>
      <w:r>
        <w:t xml:space="preserve">Специалисты Главного управления ПФР №9: Подробнее о пенсии по гособеспечению</w:t>
      </w:r>
    </w:p>
    <w:p>
      <w:pPr>
        <w:pStyle w:val="FirstParagraph"/>
      </w:pPr>
      <w:r>
        <w:t xml:space="preserve">01.08.2022</w:t>
      </w:r>
    </w:p>
    <w:p>
      <w:pPr>
        <w:pStyle w:val="BodyText"/>
      </w:pPr>
      <w:r>
        <w:rPr>
          <w:bCs/>
          <w:b/>
        </w:rPr>
        <w:t xml:space="preserve">Специалисты Главного управления ПФР №9:</w:t>
      </w:r>
    </w:p>
    <w:p>
      <w:pPr>
        <w:pStyle w:val="BodyText"/>
      </w:pPr>
      <w:r>
        <w:rPr>
          <w:bCs/>
          <w:b/>
        </w:rPr>
        <w:t xml:space="preserve">Подробнее о пенсии по гособеспечению</w:t>
      </w:r>
    </w:p>
    <w:p>
      <w:pPr>
        <w:pStyle w:val="BodyText"/>
      </w:pPr>
      <w:r>
        <w:rPr>
          <w:bCs/>
          <w:b/>
        </w:rPr>
        <w:t xml:space="preserve">29 июля 2022 года</w:t>
      </w:r>
    </w:p>
    <w:p>
      <w:pPr>
        <w:pStyle w:val="BodyText"/>
      </w:pPr>
      <w:r>
        <w:rPr>
          <w:bCs/>
          <w:b/>
        </w:rPr>
        <w:t xml:space="preserve">ГУ-Главное управление ПФР №9 по г.Москве и Московской области</w:t>
      </w:r>
      <w:r>
        <w:t xml:space="preserve"> </w:t>
      </w:r>
      <w:r>
        <w:t xml:space="preserve">напоминает, что помимо страховых пенсий Пенсионный фонд РФ устанавливает и осуществляет выплату пенсии по государственному пенсионному обеспечению.</w:t>
      </w:r>
    </w:p>
    <w:p>
      <w:pPr>
        <w:pStyle w:val="BodyText"/>
      </w:pPr>
      <w:r>
        <w:rPr>
          <w:iCs/>
          <w:i/>
          <w:bCs/>
          <w:b/>
        </w:rPr>
        <w:t xml:space="preserve">Пенсия по государственному пенсионному обеспечению бывает следующих видов:</w:t>
      </w:r>
    </w:p>
    <w:p>
      <w:pPr>
        <w:pStyle w:val="BodyText"/>
      </w:pPr>
      <w:r>
        <w:t xml:space="preserve">· за выслугу лет – назначается федеральным государственным гражданским служащим, военнослужащим, космонавтам и работникам летно-испытательного состава;</w:t>
      </w:r>
    </w:p>
    <w:p>
      <w:pPr>
        <w:pStyle w:val="BodyText"/>
      </w:pPr>
      <w:r>
        <w:t xml:space="preserve">· по старости – назначается пострадавшим в результате радиационных или техногенных катастроф;</w:t>
      </w:r>
    </w:p>
    <w:p>
      <w:pPr>
        <w:pStyle w:val="BodyText"/>
      </w:pPr>
      <w:r>
        <w:t xml:space="preserve">· по инвалидности – назначается военнослужащим, участникам ВОВ, лицам, награжденным знаком «Жителю блокадного Ленинграда», гражданам, награжденным знаком «Житель осажденного Севастополя», гражданам, пострадавшим в результате радиационных или техногенных катастроф, космонавтам;</w:t>
      </w:r>
    </w:p>
    <w:p>
      <w:pPr>
        <w:pStyle w:val="BodyText"/>
      </w:pPr>
      <w:r>
        <w:t xml:space="preserve">· по случаю потери кормильца – назначается членам семьи военнослужащих, граждан, пострадавших в результате радиационных или техногенных катастроф;</w:t>
      </w:r>
    </w:p>
    <w:p>
      <w:pPr>
        <w:pStyle w:val="BodyText"/>
      </w:pPr>
      <w:r>
        <w:t xml:space="preserve">· социальная пенсия по инвалидности (назначается инвалидам I, II, III групп, в том числе инвалидам с детства, детям-инвалидам);</w:t>
      </w:r>
    </w:p>
    <w:p>
      <w:pPr>
        <w:pStyle w:val="BodyText"/>
      </w:pPr>
      <w:r>
        <w:t xml:space="preserve">· социальная пенсия по случаю потери кормильца (назначается детям до 18 лет и старше, обучающимся по очной форме до окончания ими такого обучения, но не дольше чем до достижения ими возраста 23 лет, потерявшим одного или обоих родителей, и детям умершей одинокой матери);</w:t>
      </w:r>
    </w:p>
    <w:p>
      <w:pPr>
        <w:pStyle w:val="BodyText"/>
      </w:pPr>
      <w:r>
        <w:t xml:space="preserve">· социальная пенсия по старости (назначается гражданам из числа малочисленных народов Севера, постоянно проживающим в этих районах, достигшим возраста 55 и 50 лет (соответственно мужчины и женщины);</w:t>
      </w:r>
    </w:p>
    <w:p>
      <w:pPr>
        <w:pStyle w:val="BodyText"/>
      </w:pPr>
      <w:r>
        <w:t xml:space="preserve">· социальная пенсия по старости гражданам РФ, достигшим возраста 70 и 65 лет (соответственно мужчины и женщины) (тем, кто не приобрел право на установление страховой пенсии);</w:t>
      </w:r>
    </w:p>
    <w:p>
      <w:pPr>
        <w:pStyle w:val="BodyText"/>
      </w:pPr>
      <w:r>
        <w:t xml:space="preserve">· социальная пенсия детям, оба родителя которых неизвестны (назначается детям в возрасте до 18 лет, а также старше этого возраста, обучающимся по очной форме, но не дольше чем до достижения ими возраста 23 лет).</w:t>
      </w:r>
    </w:p>
    <w:p>
      <w:pPr>
        <w:pStyle w:val="BodyText"/>
      </w:pPr>
      <w:r>
        <w:rPr>
          <w:bCs/>
          <w:b/>
        </w:rPr>
        <w:t xml:space="preserve">Начальник Главного управления ПФР №9 Людмила Тарасова</w:t>
      </w:r>
      <w:r>
        <w:t xml:space="preserve"> </w:t>
      </w:r>
      <w:r>
        <w:t xml:space="preserve">отмечает: «Некоторые из указанных категорий, например, инвалиды и участники ВОВ, могут получать одновременно две пенсии: страховую (имея трудовой стаж) и государственную. Пенсии по государственному пенсионному обеспечению выплачиваются за счет средств федерального бюджета».</w:t>
      </w:r>
    </w:p>
    <w:p>
      <w:pPr>
        <w:pStyle w:val="BodyText"/>
      </w:pPr>
      <w:r>
        <w:rPr>
          <w:iCs/>
          <w:i/>
        </w:rPr>
        <w:t xml:space="preserve">Заявление на данный вид пенсии можно направить как в электронном виде (через портал госуслуг либо через личный кабинет на сайте ПФР), так и лично в клиентскую службу ПФР, предварительно записавшись на прием или через МФЦ.</w:t>
      </w:r>
    </w:p>
    <w:p>
      <w:pPr>
        <w:pStyle w:val="BodyText"/>
      </w:pPr>
      <w:r>
        <w:drawing>
          <wp:inline>
            <wp:extent cx="4445000" cy="33274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evernoe-tushino.mos.ru/www/upload/medialibrary/a4a/6nk0ij22a5c909uwhj3knae12lf87eph/uu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000" cy="3327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http://severnoe-tushino.mos.ru/presscenter/news/detail/10967950.html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evernoe-tushino.mos.ru" TargetMode="External" /><Relationship Type="http://schemas.openxmlformats.org/officeDocument/2006/relationships/hyperlink" Id="rId23" Target="http://severnoe-tushino.mos.ru/presscenter/news/detail/1096795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evernoe-tushino.mos.ru" TargetMode="External" /><Relationship Type="http://schemas.openxmlformats.org/officeDocument/2006/relationships/hyperlink" Id="rId23" Target="http://severnoe-tushino.mos.ru/presscenter/news/detail/1096795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2025-05-31T19:38:43Z</dcterms:created>
  <dcterms:modified xsi:type="dcterms:W3CDTF">2025-05-31T19:38:43Z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