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70a7314f450a352640bb7b075ac3b9ef66d473"/>
    <w:p>
      <w:pPr>
        <w:pStyle w:val="Heading3"/>
      </w:pPr>
      <w:r>
        <w:t xml:space="preserve">«Белая зарплата» сегодня - достойная пенсия в будущем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bCs/>
          <w:b/>
        </w:rPr>
        <w:t xml:space="preserve">«Белая зарплата» сегодня - достойная пенсия в будущем</w:t>
      </w:r>
    </w:p>
    <w:p>
      <w:pPr>
        <w:pStyle w:val="BodyText"/>
      </w:pPr>
      <w:r>
        <w:rPr>
          <w:bCs/>
          <w:b/>
        </w:rPr>
        <w:t xml:space="preserve">26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обращает внимание грааждан, что работодатель, выплачивающий зарплату в «конверте», лишает своих сотрудников достойной пенсии в будущем.</w:t>
      </w:r>
    </w:p>
    <w:p>
      <w:pPr>
        <w:pStyle w:val="BodyText"/>
      </w:pPr>
      <w:r>
        <w:t xml:space="preserve">При официальном трудоустройстве с заработной платы застрахованного лица производятся отчисления страховых взносов на обязательное пенсионное и социальное страхование. Следовательно, работник может получить пособие по временной нетрудоспособности, по беременности и родам, по уходу за детьми в полном объёме, а его стаж работы и заработная плата будут учтены при назначении ему страховой пенсии.</w:t>
      </w:r>
    </w:p>
    <w:p>
      <w:pPr>
        <w:pStyle w:val="BodyText"/>
      </w:pPr>
      <w:r>
        <w:t xml:space="preserve">При увольнении гражданину будет выплачена в полном объеме компенсация за неиспользованные дни отпуска, а при сокращении - выходное пособие. Официальной справкой работодателя о зарплате сотрудник может подтвердить свои доходы для получения кредита в банке, оформлении ипотеки и получении налогового вычета в органах ФНС.</w:t>
      </w:r>
    </w:p>
    <w:p>
      <w:pPr>
        <w:pStyle w:val="BodyText"/>
      </w:pPr>
      <w:r>
        <w:rPr>
          <w:bCs/>
          <w:b/>
        </w:rPr>
        <w:t xml:space="preserve">ВАЖНО</w:t>
      </w:r>
      <w:r>
        <w:t xml:space="preserve"> </w:t>
      </w:r>
      <w:r>
        <w:t xml:space="preserve">знать, что периоды работы засчитываются в страховой стаж только при условии, что за это время работодателем уплачивались страховые взносы в Пенсионный фонд РФ. Поэтому для гражданина необходимо быть официально трудоустроенным и получать белую заработную плату.</w:t>
      </w:r>
    </w:p>
    <w:p>
      <w:pPr>
        <w:pStyle w:val="BodyText"/>
      </w:pPr>
      <w:r>
        <w:t xml:space="preserve">Каждый работник имеет право потребовать от руководства организации, в которой он работает, исполнить обязанности по уплате страховых взносов на обязательное пенсионное страхование или обратиться в суд о защите своих пенсионных прав.</w:t>
      </w:r>
    </w:p>
    <w:p>
      <w:pPr>
        <w:pStyle w:val="BodyText"/>
      </w:pPr>
      <w:r>
        <w:t xml:space="preserve">Работодатель, выплачивающий белую зарплату, является гарантом для своего работника в обеспечении ему достойной пенсии.</w:t>
      </w:r>
    </w:p>
    <w:p>
      <w:pPr>
        <w:pStyle w:val="BodyText"/>
      </w:pPr>
      <w:r>
        <w:t xml:space="preserve">Узнать состояние лицевого счёта можно на сайте ПФР</w:t>
      </w:r>
      <w:r>
        <w:t xml:space="preserve"> </w:t>
      </w:r>
      <w:hyperlink r:id="rId20">
        <w:r>
          <w:rPr>
            <w:rStyle w:val="Hyperlink"/>
          </w:rPr>
          <w:t xml:space="preserve">www.pfr.gov.ru</w:t>
        </w:r>
      </w:hyperlink>
      <w:r>
        <w:t xml:space="preserve"> </w:t>
      </w:r>
      <w:r>
        <w:t xml:space="preserve">в личном кабинете гражданина, в бесплатном мобильном приложении ПФР и также на портале «Госуслуги» и МФЦ.</w:t>
      </w:r>
    </w:p>
    <w:p>
      <w:pPr>
        <w:pStyle w:val="BodyText"/>
      </w:pPr>
      <w:r>
        <w:drawing>
          <wp:inline>
            <wp:extent cx="3325090" cy="204908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60/86zwqrskfx4xhbw18cfkoiwyitsuqdes/ll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090" cy="2049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http://severnoe-tushino.mos.ru/presscenter/news/detail/10959306.html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59306.html" TargetMode="External" /><Relationship Type="http://schemas.openxmlformats.org/officeDocument/2006/relationships/hyperlink" Id="rId20" Target="http://www.p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59306.html" TargetMode="External" /><Relationship Type="http://schemas.openxmlformats.org/officeDocument/2006/relationships/hyperlink" Id="rId20" Target="http://www.p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2025-02-01T22:20:06Z</dcterms:created>
  <dcterms:modified xsi:type="dcterms:W3CDTF">2025-02-01T22:20:06Z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