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386f09eaaf50a0b78e3a6784688847bbebed"/>
    <w:p>
      <w:pPr>
        <w:pStyle w:val="Heading3"/>
      </w:pPr>
      <w:r>
        <w:t xml:space="preserve">Как оформить страховую пенсию по случаю потери кормильца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rPr>
          <w:bCs/>
          <w:b/>
        </w:rPr>
        <w:t xml:space="preserve">Как оформить страховую пенсию по случаю потери кормильца</w:t>
      </w:r>
    </w:p>
    <w:p>
      <w:pPr>
        <w:pStyle w:val="BodyText"/>
      </w:pPr>
      <w:r>
        <w:rPr>
          <w:bCs/>
          <w:b/>
        </w:rPr>
        <w:t xml:space="preserve">24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страховая пенсия по случаю потери кормильца назначается нетрудоспособным членам семьи умершего кормильца, состоявшим на его иждивении. Исключение – лица, совершившие умышленное уголовно наказуемое деяние, повлекшее за собой смерть кормильца и установленное в судебном порядке.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отмечает, что право на назначение пенсии имеют нетрудоспособные члены семьи умершего кормильца, которые состояли на его иждивении, независимо от продолжительности страхового стажа кормильца, а также от причины и времени наступления его смерти. «Члены семьи умершего кормильца признаются состоявшими на его иждивении, если они находились на его полном содержании или получали от него помощь, которая была для них постоянным и основным источником средств к существованию (при этом не требует доказательств иждивение детей умерших родителей, не достигших возраста 18 лет (за исключением детей, признанных полностью дееспособными до указанного возраста)» - поясняет она.</w:t>
      </w:r>
    </w:p>
    <w:p>
      <w:pPr>
        <w:pStyle w:val="BodyText"/>
      </w:pPr>
      <w:r>
        <w:rPr>
          <w:iCs/>
          <w:i/>
          <w:bCs/>
          <w:b/>
        </w:rPr>
        <w:t xml:space="preserve">Нетрудоспособными членами семьи умершего кормильца признаются:</w:t>
      </w:r>
    </w:p>
    <w:p>
      <w:pPr>
        <w:pStyle w:val="BodyText"/>
      </w:pPr>
      <w:r>
        <w:t xml:space="preserve">- дети, братья, сестры и внуки умершего кормильца, не достигшие возраста 18 лет;</w:t>
      </w:r>
    </w:p>
    <w:p>
      <w:pPr>
        <w:pStyle w:val="BodyText"/>
      </w:pPr>
      <w:r>
        <w:t xml:space="preserve">- дети, братья, сестры и внуки умершего кормильца, обучающиеся по очной форме обучения в организациях, осуществляющих образовательную деятельность, в том числе в иностранных организациях, расположенных за пределами территории Российской Федерации, до достижения ими возраста 23 лет;</w:t>
      </w:r>
    </w:p>
    <w:p>
      <w:pPr>
        <w:pStyle w:val="BodyText"/>
      </w:pPr>
      <w:r>
        <w:t xml:space="preserve">- дети, братья, сестры и внуки умершего кормильца старше этого возраста, если они до достижения возраста 18 лет стали инвалидами, при этом братья, сестры и внуки умершего кормильца признаются нетрудоспособными членами семьи при условии, что они не имеют трудоспособных родителей;</w:t>
      </w:r>
    </w:p>
    <w:p>
      <w:pPr>
        <w:pStyle w:val="BodyText"/>
      </w:pPr>
      <w:r>
        <w:t xml:space="preserve">- родители и супруг умершего кормильца, если они достигли возраста 65 и 60 лет (соответственно мужчины и женщины) (с учетом переходных положений, предусмотренных приложением 6 к Закону № 400) либо являются инвалидами;</w:t>
      </w:r>
    </w:p>
    <w:p>
      <w:pPr>
        <w:pStyle w:val="BodyText"/>
      </w:pPr>
      <w:r>
        <w:t xml:space="preserve">- дедушка и бабушка умершего кормильца, если они достигли возраста 65 и 60 лет (соответственно мужчины и женщины) (с учетом переходных положений, предусмотренных приложением 6 к Закону № 400) либо являются инвалидами, при отсутствии лиц, которые обязаны их содержать;</w:t>
      </w:r>
    </w:p>
    <w:p>
      <w:pPr>
        <w:pStyle w:val="BodyText"/>
      </w:pPr>
      <w:r>
        <w:t xml:space="preserve">- нетрудоспособные родители и супруг, не состоявшие на иждивении у умершего кормильца, независимо от времени, прошедшего после его смерти, если они утратят источник средств к существованию;</w:t>
      </w:r>
    </w:p>
    <w:p>
      <w:pPr>
        <w:pStyle w:val="BodyText"/>
      </w:pPr>
      <w:r>
        <w:t xml:space="preserve">- один из родителей, супруг, дедушка, бабушка умершего кормильца, а также брат, сестра или ребенок умершего кормильца, достигшие 18 лет, если они не работают и при этом заняты уходом за детьми, братьями, сестрами или внуками умершего кормильца, не достигшими 14 лет и имеющими право на страховую пенсию по случаю потери кормильца. В этом случае право на данный вид страховой пенсии возникает независимо от факта нахождения на иждивении у кормильца.</w:t>
      </w:r>
    </w:p>
    <w:p>
      <w:pPr>
        <w:pStyle w:val="BodyText"/>
      </w:pPr>
      <w:r>
        <w:t xml:space="preserve">Усыновители имеют право на страховую пенсию по случаю потери кормильца наравне с родителями, а усыновленные дети – наравне с родными детьми.</w:t>
      </w:r>
    </w:p>
    <w:p>
      <w:pPr>
        <w:pStyle w:val="BodyText"/>
      </w:pPr>
      <w:r>
        <w:t xml:space="preserve">Отчим и мачеха имеют право на страховую пенсию по случаю потери кормильца наравне с родителями, а пасынок и падчерица – наравне с родными детьми при соблюдении определенных условий.</w:t>
      </w:r>
    </w:p>
    <w:p>
      <w:pPr>
        <w:pStyle w:val="BodyText"/>
      </w:pPr>
      <w:r>
        <w:t xml:space="preserve">Граждане могут обратиться за назначением пенсии в любое время после возникновения права на нее. Заявление о назначении пенсии может быть подано гражданином в территориальный орган ПФР, либо в многофункциональный центр по своему выбору (далее – МФЦ), в случае, если между территориальным органом ПФР и МФЦ заключено соглашение о взаимодействии и подача указанного заявления предусмотрена перечнем государственных и муниципальных услуг, предоставляемых в многофункциональном центре, установленным соглашением. Заявление может быть направлено по почте, либо через работодателя, который состоит с работником в трудовых отношениях, с письменного согласия гражданина. Также гражданин может направить заявление в форме электронного документа через «Единый портал государственных и муниципальных услуг».</w:t>
      </w:r>
    </w:p>
    <w:p>
      <w:pPr>
        <w:pStyle w:val="BodyText"/>
      </w:pPr>
      <w:r>
        <w:t xml:space="preserve">В случае подачи заявления о назначении пенсии со всеми необходимыми документами:</w:t>
      </w:r>
      <w:r>
        <w:br/>
      </w:r>
      <w:r>
        <w:t xml:space="preserve">- лично (представителем, через работодателя) днем обращения за пенсией является день приема территориальным органом ПФР заявления;</w:t>
      </w:r>
    </w:p>
    <w:p>
      <w:pPr>
        <w:pStyle w:val="BodyText"/>
      </w:pPr>
      <w:r>
        <w:t xml:space="preserve">- по почте - днем обращения за пенсией считается дата, которая указана на почтовом штемпеле по месту отправления заявления;</w:t>
      </w:r>
    </w:p>
    <w:p>
      <w:pPr>
        <w:pStyle w:val="BodyText"/>
      </w:pPr>
      <w:r>
        <w:t xml:space="preserve">- через МФЦ – днем обращения за пенсией считается дата приема заявления МФЦ;</w:t>
      </w:r>
    </w:p>
    <w:p>
      <w:pPr>
        <w:pStyle w:val="BodyText"/>
      </w:pPr>
      <w:r>
        <w:t xml:space="preserve">- через Единый портал государственных и муниципальных услуг (функций) и представлении в территориальный орган ПФР всех необходимых документов, обязанность по представлению которых возложена на заявителя, в срок, не позднее чем через три месяца со дня получения соответствующего разъяснения, днем обращения за пенсией считается дата подачи заявления в форме электронного документа.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http://severnoe-tushino.mos.ru/presscenter/news/detail/10892798.html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892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892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2025-02-09T11:05:45Z</dcterms:created>
  <dcterms:modified xsi:type="dcterms:W3CDTF">2025-02-09T11:05:45Z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