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66f7bc74e8379f94f2eae0d25c30af39062acf"/>
    <w:p>
      <w:pPr>
        <w:pStyle w:val="Heading3"/>
      </w:pPr>
      <w:r>
        <w:t xml:space="preserve">Вопрос – ответ: как подтвердить статус предпенсионера?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rPr>
          <w:bCs/>
          <w:b/>
        </w:rPr>
        <w:t xml:space="preserve">Вопрос – ответ: как подтвердить статус предпенсионера?</w:t>
      </w:r>
    </w:p>
    <w:p>
      <w:pPr>
        <w:pStyle w:val="BodyText"/>
      </w:pPr>
      <w:r>
        <w:rPr>
          <w:bCs/>
          <w:b/>
        </w:rPr>
        <w:t xml:space="preserve">21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с 2019 года в России начался переходный период, устанавливающий изменения пенсионного возраста. Постепенный переход к его повышению обеспечивает сохранение для граждан различных льгот и мер социальной поддержки, предоставляемых сегодня по достижении пенсионного возраста, например по уплате имущественного и земельного налогов. Также, предусмотрены льготы, связанные с ежегодной диспансеризацией, гарантии трудовой занятости для граждан предпенсионного возраста.</w:t>
      </w:r>
    </w:p>
    <w:p>
      <w:pPr>
        <w:pStyle w:val="BodyText"/>
      </w:pPr>
      <w:r>
        <w:rPr>
          <w:bCs/>
          <w:b/>
        </w:rPr>
        <w:t xml:space="preserve">ВАЖНО</w:t>
      </w:r>
      <w:r>
        <w:t xml:space="preserve"> </w:t>
      </w:r>
      <w:r>
        <w:t xml:space="preserve">знать: Границы предпенсионного возраста обозначены в течение 5 лет до наступления пенсионного возраста. Предпенсионеры имеют право на</w:t>
      </w:r>
      <w:r>
        <w:t xml:space="preserve"> </w:t>
      </w:r>
      <w:hyperlink r:id="rId20">
        <w:r>
          <w:rPr>
            <w:rStyle w:val="Hyperlink"/>
          </w:rPr>
          <w:t xml:space="preserve">ряд льгот</w:t>
        </w:r>
      </w:hyperlink>
      <w:r>
        <w:t xml:space="preserve">, таких как повышенный размер пособия по безработице, льготы по диспансеризации и других, наступающих в границах «прежнего» пенсионного возраста: 55 лет для женщин и 60 лет для мужчин.</w:t>
      </w:r>
    </w:p>
    <w:p>
      <w:pPr>
        <w:pStyle w:val="BodyText"/>
      </w:pPr>
      <w:r>
        <w:t xml:space="preserve">Рассчитывать на получение льгот могут граждане, подтвердившие свой статус предпенсионера. Справку можно оформить через</w:t>
      </w:r>
      <w:r>
        <w:t xml:space="preserve"> </w:t>
      </w:r>
      <w:hyperlink r:id="rId21">
        <w:r>
          <w:rPr>
            <w:rStyle w:val="Hyperlink"/>
          </w:rPr>
          <w:t xml:space="preserve">Личный кабинет</w:t>
        </w:r>
      </w:hyperlink>
      <w:r>
        <w:t xml:space="preserve"> </w:t>
      </w:r>
      <w:r>
        <w:t xml:space="preserve">на сайте ПФР. Документ в формате PDF и XML формируется за несколько секунд. Для этого необходимо войти в Личный кабинет, используя логин и пароль учетной записи на Едином портале государственных услуг, выбрать в разделе «Пенсии» вкладку «Заказать справку (выписку) об отнесении гражданина к категории граждан предпенсионного возраста. При желании сформированную справку можно получить на электронную почту, сохранить, распечатать, а также просмотреть в разделе «История обращений». Кроме этого, подтвердить льготный статус предпенсионер может и самостоятельно, лично обратившись в клиентскую службу ПФР (по предварительной записи) или МФЦ.</w:t>
      </w:r>
    </w:p>
    <w:p>
      <w:pPr>
        <w:pStyle w:val="BodyText"/>
      </w:pPr>
      <w:r>
        <w:rPr>
          <w:iCs/>
          <w:i/>
          <w:bCs/>
          <w:b/>
        </w:rPr>
        <w:t xml:space="preserve">Обращаем особое внимание, что Пенсионный фонд только подтверждает статус предпенсионера, а за оформлением льгот необходимо обращаться в профильное ведомство – в органы соцзащиты, к работодателю, в центры занятости, налоговую службу и т.п.</w:t>
      </w:r>
    </w:p>
    <w:p>
      <w:pPr>
        <w:pStyle w:val="BodyText"/>
      </w:pPr>
      <w:r>
        <w:drawing>
          <wp:inline>
            <wp:extent cx="3224463" cy="512064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b2a/zq78kviw281f2vea1s3pppmck1j8d36m/pfr-2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463" cy="5120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http://severnoe-tushino.mos.ru/presscenter/news/detail/10882140.html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882140.html" TargetMode="External" /><Relationship Type="http://schemas.openxmlformats.org/officeDocument/2006/relationships/hyperlink" Id="rId20" Target="https://news.myseldon.com/away?to=http%3a%2f%2fwww.pfrf.ru%2fzakon%2f%23info-2" TargetMode="External" /><Relationship Type="http://schemas.openxmlformats.org/officeDocument/2006/relationships/hyperlink" Id="rId21" Target="https://news.myseldon.com/away?to=https%3a%2f%2fes.pfrf.ru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882140.html" TargetMode="External" /><Relationship Type="http://schemas.openxmlformats.org/officeDocument/2006/relationships/hyperlink" Id="rId20" Target="https://news.myseldon.com/away?to=http%3a%2f%2fwww.pfrf.ru%2fzakon%2f%23info-2" TargetMode="External" /><Relationship Type="http://schemas.openxmlformats.org/officeDocument/2006/relationships/hyperlink" Id="rId21" Target="https://news.myseldon.com/away?to=https%3a%2f%2fes.pfrf.ru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2025-02-13T23:57:53Z</dcterms:created>
  <dcterms:modified xsi:type="dcterms:W3CDTF">2025-02-13T23:57:53Z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