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e278b6e0f1717e48a1fe979af730581df7181"/>
    <w:p>
      <w:pPr>
        <w:pStyle w:val="Heading3"/>
      </w:pPr>
      <w:r>
        <w:t xml:space="preserve">В Московском регионе около 1,5 тысячи сертификатов на материнский (семейный) капитал оформлены на отцов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rPr>
          <w:bCs/>
          <w:b/>
        </w:rPr>
        <w:t xml:space="preserve">В Московском регионе около 1,5 тысячи сертификатов на материнский (семейный) капитал оформлены на отцов</w:t>
      </w:r>
    </w:p>
    <w:p>
      <w:pPr>
        <w:pStyle w:val="BodyText"/>
      </w:pPr>
      <w:r>
        <w:rPr>
          <w:bCs/>
          <w:b/>
        </w:rPr>
        <w:t xml:space="preserve">20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владельцами сертификата могут быть как мамы, так и папы. Сегодня в Московском регионе около 1,5 тысячи пап (усыновителей) первого, второго или последующего ребенка, в связи с рождением (усыновлением) у которого возникло право на получение материнского капитала, самостоятельно воспитывают своих детей.</w:t>
      </w:r>
    </w:p>
    <w:p>
      <w:pPr>
        <w:pStyle w:val="BodyText"/>
      </w:pPr>
      <w:r>
        <w:rPr>
          <w:iCs/>
          <w:i/>
          <w:bCs/>
          <w:b/>
        </w:rPr>
        <w:t xml:space="preserve">Всего сначала действия государственной программы – с 2007 года – Отделением ПФР по городу Москве и Московской области выдано свыше 1,3 миллиона государственных сертификатов.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Право оформить сертификат на материнский (семейный) капитал может отец при условиях:</w:t>
      </w:r>
    </w:p>
    <w:p>
      <w:pPr>
        <w:pStyle w:val="BodyText"/>
      </w:pPr>
      <w:r>
        <w:t xml:space="preserve">· если он имеет гражданство Российской Федерации и является единственным усыновителем второго, третьего или последующего ребенка, решение суда об усыновлении которого вступило в законную силу с 1 января 2007 года;</w:t>
      </w:r>
    </w:p>
    <w:p>
      <w:pPr>
        <w:pStyle w:val="BodyText"/>
      </w:pPr>
      <w:r>
        <w:t xml:space="preserve">· если он имеет гражданство Российской Федерации и является единственным усыновителем первого ребенка, если решение суда об усыновлении вступило в законную силу с 1 января 2020 года;</w:t>
      </w:r>
    </w:p>
    <w:p>
      <w:pPr>
        <w:pStyle w:val="BodyText"/>
      </w:pPr>
      <w:r>
        <w:t xml:space="preserve">· вне зависимости от наличия гражданства Российской Федерации в случае прекращения права на материнский (семейный) капитал у матери вследствие ее смерти, объявления ее умершей, лишения родительских прав в отношении ребенка, в связи с рождением (усыновлением) которого возникло право на получение материнского капитала, совершения в отношении своего ребенка (детей)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(детей), в случае отмены усыновления ребенка, в связи с усыновлением которого возникло право на дополнительные меры государственной поддержки.</w:t>
      </w:r>
    </w:p>
    <w:p>
      <w:pPr>
        <w:pStyle w:val="BodyText"/>
      </w:pPr>
      <w:r>
        <w:t xml:space="preserve">· мужчин, воспитывающих второго, третьего ребенка или последующих детей, рожденных начиная с 1 января 2007 года, и являющихся их отцами (усыновителями), в случае смерти женщины, не имевшей гражданства Российской Федерации, родившей указанных детей, либо объявления ее умершей;</w:t>
      </w:r>
    </w:p>
    <w:p>
      <w:pPr>
        <w:pStyle w:val="BodyText"/>
      </w:pPr>
      <w:r>
        <w:t xml:space="preserve">· мужчин, воспитывающих первого ребенка, рожденного начиная с 1 января 2020 года, и являющихся отцами (усыновителями) указанного ребенка, в случае смерти женщины, не имевшей гражданства Российской Федерации, родившей указанного ребенка, либо объявления ее умершей.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внимание, что в настоящее время сертификат на материнский (семейный) капитал оформляется в проактивной форме. После вынесения Пенсионным фондом положительного решения о предоставлении материнского капитала в личный кабинет на сайте ПФР или портале госуслуг поступает государственный сертификат в форме электронного документа.</w:t>
      </w:r>
    </w:p>
    <w:p>
      <w:pPr>
        <w:pStyle w:val="BodyText"/>
      </w:pPr>
      <w:r>
        <w:drawing>
          <wp:inline>
            <wp:extent cx="2867025" cy="1590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e50/6jwzv5fhaoza2rb5q4ipn7com8ulrts7/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По данным Отделения ПФР по г. Москве и Московской области, на сегодняшний день выдано более 12 тысяч электронных сертификатов.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rPr>
          <w:iCs/>
          <w:i/>
        </w:rPr>
        <w:t xml:space="preserve">Для семей с приемными детьми порядок оформления является заявительным, поскольку сведения об усыновлении, необходимые для получения материнского капитала, могут представить только сами приемные родители.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http://severnoe-tushino.mos.ru/presscenter/news/detail/10879322.html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79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79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2025-02-14T01:08:21Z</dcterms:created>
  <dcterms:modified xsi:type="dcterms:W3CDTF">2025-02-14T01:08:21Z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