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-днем-россии"/>
    <w:p>
      <w:pPr>
        <w:pStyle w:val="Heading3"/>
      </w:pPr>
      <w:r>
        <w:t xml:space="preserve">С Днем России !</w:t>
      </w:r>
    </w:p>
    <w:p>
      <w:pPr>
        <w:pStyle w:val="FirstParagraph"/>
      </w:pPr>
      <w:r>
        <w:t xml:space="preserve">10.06.2022</w:t>
      </w:r>
    </w:p>
    <w:p>
      <w:pPr>
        <w:pStyle w:val="BodyText"/>
      </w:pPr>
      <w:r>
        <w:drawing>
          <wp:inline>
            <wp:extent cx="5334000" cy="53812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474/yz084nr9tijqt6tvmd1gwzsia95xpdia/S-Dnyem-Rossii.doc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812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http://severnoe-tushino.mos.ru/presscenter/news/detail/10864095.html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64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ernoe-tushino.mos.ru" TargetMode="External" /><Relationship Type="http://schemas.openxmlformats.org/officeDocument/2006/relationships/hyperlink" Id="rId23" Target="http://severnoe-tushino.mos.ru/presscenter/news/detail/10864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2025-02-09T18:03:08Z</dcterms:created>
  <dcterms:modified xsi:type="dcterms:W3CDTF">2025-02-09T18:03:08Z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