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47e89fc5b95c06b96e1cd0da26916c6f2cfc36"/>
    <w:p>
      <w:pPr>
        <w:pStyle w:val="Heading3"/>
      </w:pPr>
      <w:r>
        <w:t xml:space="preserve">Поздравление от коллектива Главного управления ПФР №9 с Днём социального работника</w:t>
      </w:r>
    </w:p>
    <w:p>
      <w:pPr>
        <w:pStyle w:val="FirstParagraph"/>
      </w:pPr>
      <w:r>
        <w:t xml:space="preserve">03.06.2022</w:t>
      </w:r>
    </w:p>
    <w:p>
      <w:pPr>
        <w:pStyle w:val="BodyText"/>
      </w:pPr>
      <w:r>
        <w:drawing>
          <wp:inline>
            <wp:extent cx="5334000" cy="694912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ernoe-tushino.mos.ru/www/upload/medialibrary/4f0/56kz6uunoy0dky6edegu63pcadtm93gl/Pozdravlenie-s-Dnyem-sotsrabotnik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9491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http://severnoe-tushino.mos.ru/presscenter/news/detail/10849220.html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presscenter/news/detail/108492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presscenter/news/detail/108492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2025-03-03T00:46:50Z</dcterms:created>
  <dcterms:modified xsi:type="dcterms:W3CDTF">2025-03-03T00:46:50Z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