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d38de9aa06c1db95df9205e36f9ba95ec49939"/>
    <w:p>
      <w:pPr>
        <w:pStyle w:val="Heading3"/>
      </w:pPr>
      <w:r>
        <w:t xml:space="preserve">Узнать о пенсионных накоплениях в «Личном кабинете» на сайте ПФР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bookmarkStart w:id="20" w:name="Xe8527fed3ab7c6baeef7a6f8b3c287daf17c911"/>
      <w:r>
        <w:t xml:space="preserve">Узнать о пенсионных накоплениях</w:t>
      </w:r>
      <w:bookmarkEnd w:id="20"/>
      <w:r>
        <w:t xml:space="preserve"> </w:t>
      </w:r>
      <w:r>
        <w:t xml:space="preserve">в «Личном кабинете» на сайте ПФР</w:t>
      </w:r>
    </w:p>
    <w:p>
      <w:pPr>
        <w:pStyle w:val="BodyText"/>
      </w:pPr>
      <w:r>
        <w:rPr>
          <w:bCs/>
          <w:b/>
        </w:rPr>
        <w:t xml:space="preserve">11 февраля 2022 года</w:t>
      </w:r>
    </w:p>
    <w:p>
      <w:pPr>
        <w:pStyle w:val="BodyText"/>
      </w:pPr>
      <w:r>
        <w:t xml:space="preserve">В связи с поступающими на телефон горячей линии вопросами о формировании накопительной части будущей страховой пенсии,</w:t>
      </w:r>
      <w:r>
        <w:t xml:space="preserve"> </w:t>
      </w: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</w:t>
      </w:r>
      <w:r>
        <w:t xml:space="preserve"> </w:t>
      </w:r>
      <w:r>
        <w:rPr>
          <w:bCs/>
          <w:b/>
        </w:rPr>
        <w:t xml:space="preserve">простой и быстрый способ получить информацию о своих пенсионных накоплениях:</w:t>
      </w:r>
    </w:p>
    <w:p>
      <w:pPr>
        <w:pStyle w:val="BodyText"/>
      </w:pPr>
      <w:r>
        <w:t xml:space="preserve">- в «Личном кабинете» на сайте Пенсионного фонда России:</w:t>
      </w:r>
      <w:r>
        <w:t xml:space="preserve"> </w:t>
      </w:r>
      <w:hyperlink r:id="rId21">
        <w:r>
          <w:rPr>
            <w:rStyle w:val="Hyperlink"/>
          </w:rPr>
          <w:t xml:space="preserve">www.pfr.gov.ru</w:t>
        </w:r>
      </w:hyperlink>
      <w:r>
        <w:t xml:space="preserve">;</w:t>
      </w:r>
    </w:p>
    <w:p>
      <w:pPr>
        <w:pStyle w:val="BodyText"/>
      </w:pPr>
      <w:r>
        <w:t xml:space="preserve">- на Едином портале государственных и муниципальных услуг.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«Электронные сервисы позволяют сформировать выписку о состоянии индивидуального лицевого счета в ПФР, где отражена самая актуальная информация о средствах пенсионных накоплений гражданина и результатах их инвестирования».</w:t>
      </w:r>
    </w:p>
    <w:p>
      <w:pPr>
        <w:pStyle w:val="BodyText"/>
      </w:pPr>
      <w:r>
        <w:t xml:space="preserve">С помощью «Личного кабинета» также можно ознакомиться с результатами рассмотрения ПФР заявлений о переводе пенсионных накоплений от одного страховщика к другому или об изменении управляющей компании.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Граждане, имеющие пенсионные накопления, имеют право доверить их управление Пенсионному фонду РФ или негосударственному пенсионному фонду, осуществляющему деятельность по обязательному пенсионному страхованию. Если гражданин будет осуществлять смену страховщика чаще одного раза в пять лет, он может потерять инвестиционный доход, полученный предыдущим страховщиком.</w:t>
      </w:r>
    </w:p>
    <w:p>
      <w:pPr>
        <w:pStyle w:val="BodyText"/>
      </w:pPr>
      <w:r>
        <w:drawing>
          <wp:inline>
            <wp:extent cx="2918564" cy="402503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eb/34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564" cy="4025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http://severnoe-tushino.mos.ru/presscenter/news/detail/10613949.html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613949.html" TargetMode="External" /><Relationship Type="http://schemas.openxmlformats.org/officeDocument/2006/relationships/hyperlink" Id="rId21" Target="http://www.p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613949.html" TargetMode="External" /><Relationship Type="http://schemas.openxmlformats.org/officeDocument/2006/relationships/hyperlink" Id="rId21" Target="http://www.p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2025-02-11T21:11:12Z</dcterms:created>
  <dcterms:modified xsi:type="dcterms:W3CDTF">2025-02-11T21:11:12Z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