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75a4c4724b8f65b995d8f5cd398495c1010e6f"/>
    <w:p>
      <w:pPr>
        <w:pStyle w:val="Heading3"/>
      </w:pPr>
      <w:r>
        <w:t xml:space="preserve">Об изменении суммы ежемесячной денежной выплаты (ЕДВ) с 1 февраля 2022 года</w:t>
      </w:r>
    </w:p>
    <w:p>
      <w:pPr>
        <w:pStyle w:val="FirstParagraph"/>
      </w:pPr>
      <w:r>
        <w:t xml:space="preserve">09.02.2022</w:t>
      </w:r>
    </w:p>
    <w:bookmarkEnd w:id="20"/>
    <w:bookmarkStart w:id="21" w:name="Xf9da35d69505ead0a954390f736b9722d62a602"/>
    <w:p>
      <w:pPr>
        <w:pStyle w:val="Heading2"/>
      </w:pPr>
      <w:r>
        <w:t xml:space="preserve">Об изменении суммы ежемесячной денежной выплаты (ЕДВ)</w:t>
      </w:r>
    </w:p>
    <w:bookmarkEnd w:id="21"/>
    <w:bookmarkStart w:id="25" w:name="с-1-февраля-2022-года"/>
    <w:p>
      <w:pPr>
        <w:pStyle w:val="Heading2"/>
      </w:pPr>
      <w:r>
        <w:t xml:space="preserve">с 1 февраля 2022 года</w:t>
      </w:r>
    </w:p>
    <w:p>
      <w:pPr>
        <w:pStyle w:val="FirstParagraph"/>
      </w:pPr>
      <w:r>
        <w:rPr>
          <w:bCs/>
          <w:b/>
        </w:rPr>
        <w:t xml:space="preserve">9 февраля 2021 года</w:t>
      </w:r>
    </w:p>
    <w:p>
      <w:pPr>
        <w:pStyle w:val="BodyText"/>
      </w:pPr>
      <w:r>
        <w:rPr>
          <w:bCs/>
          <w:b/>
        </w:rPr>
        <w:t xml:space="preserve">ГУ - Главное управление ПФР № 9 по г. Москве и Московской области</w:t>
      </w:r>
      <w:r>
        <w:t xml:space="preserve"> </w:t>
      </w:r>
      <w:r>
        <w:t xml:space="preserve">информирует, что с 1 февраля 2022 на</w:t>
      </w:r>
      <w:r>
        <w:t xml:space="preserve"> </w:t>
      </w:r>
      <w:r>
        <w:rPr>
          <w:bCs/>
          <w:b/>
        </w:rPr>
        <w:t xml:space="preserve">8,4%</w:t>
      </w:r>
      <w:r>
        <w:t xml:space="preserve"> </w:t>
      </w:r>
      <w:r>
        <w:t xml:space="preserve">проиндексирована ежемесячная денежная выплата (ЕДВ), которую получают 14,3 млн. россиян из числа федеральных льготников. Это инвалиды, ветераны, лица, которые подверглись воздействию радиации вследствие техногенных катастроф, Герои Советского Союза и Российской Федерации, Герои Социалистического Труда и Герои труда Российской Федерации, а также некоторые другие категории граждан.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особое внимание, что на 8,4% индексируется входящий в состав ежемесячной денежной выплаты (ЕДВ) набор социальных услуг (НСУ). «Право на него имеют все получатели ЕДВ, не отказавшиеся от полного набора социальных услуг либо от какой-либо конкретной услуги в пользу замены на денежный эквивалент» - отмечает она.</w:t>
      </w:r>
    </w:p>
    <w:p>
      <w:pPr>
        <w:pStyle w:val="BodyText"/>
      </w:pPr>
      <w:r>
        <w:t xml:space="preserve">Стоимость набора</w:t>
      </w:r>
      <w:r>
        <w:t xml:space="preserve"> </w:t>
      </w:r>
      <w:r>
        <w:rPr>
          <w:bCs/>
          <w:b/>
        </w:rPr>
        <w:t xml:space="preserve">с 1 февраля 2022 года</w:t>
      </w:r>
      <w:r>
        <w:t xml:space="preserve"> </w:t>
      </w:r>
      <w:r>
        <w:t xml:space="preserve">увеличилась до</w:t>
      </w:r>
      <w:r>
        <w:t xml:space="preserve"> </w:t>
      </w:r>
      <w:r>
        <w:rPr>
          <w:bCs/>
          <w:b/>
        </w:rPr>
        <w:t xml:space="preserve">1 313,44 рубля</w:t>
      </w:r>
      <w:r>
        <w:t xml:space="preserve"> </w:t>
      </w:r>
      <w:r>
        <w:t xml:space="preserve">в месяц:</w:t>
      </w:r>
    </w:p>
    <w:p>
      <w:pPr>
        <w:pStyle w:val="BodyText"/>
      </w:pPr>
      <w:r>
        <w:t xml:space="preserve">· лекарства, медицинские изделия и лечебное питание для детей-инвалидов (денежный эквивалент –</w:t>
      </w:r>
      <w:r>
        <w:t xml:space="preserve"> </w:t>
      </w:r>
      <w:r>
        <w:rPr>
          <w:bCs/>
          <w:b/>
        </w:rPr>
        <w:t xml:space="preserve">1 011,64 рубля</w:t>
      </w:r>
      <w:r>
        <w:t xml:space="preserve"> </w:t>
      </w:r>
      <w:r>
        <w:t xml:space="preserve">в месяц);</w:t>
      </w:r>
    </w:p>
    <w:p>
      <w:pPr>
        <w:pStyle w:val="BodyText"/>
      </w:pPr>
      <w:r>
        <w:t xml:space="preserve">· путевка на санаторно-курортное лечение для профилактики основных заболеваний (денежный эквивалент –</w:t>
      </w:r>
      <w:r>
        <w:t xml:space="preserve"> </w:t>
      </w:r>
      <w:r>
        <w:rPr>
          <w:bCs/>
          <w:b/>
        </w:rPr>
        <w:t xml:space="preserve">156,50 рубля</w:t>
      </w:r>
      <w:r>
        <w:t xml:space="preserve"> </w:t>
      </w:r>
      <w:r>
        <w:t xml:space="preserve">в месяц);</w:t>
      </w:r>
    </w:p>
    <w:p>
      <w:pPr>
        <w:pStyle w:val="BodyText"/>
      </w:pPr>
      <w:r>
        <w:t xml:space="preserve">· бесплатный проезд на пригородном железнодорожном транспорте или на междугородном транспорте к месту лечения и обратно (денежный эквивалент –</w:t>
      </w:r>
      <w:r>
        <w:t xml:space="preserve"> </w:t>
      </w:r>
      <w:r>
        <w:rPr>
          <w:bCs/>
          <w:b/>
        </w:rPr>
        <w:t xml:space="preserve">145,30 рубля</w:t>
      </w:r>
      <w:r>
        <w:t xml:space="preserve"> </w:t>
      </w:r>
      <w:r>
        <w:t xml:space="preserve">в месяц).</w:t>
      </w:r>
    </w:p>
    <w:p>
      <w:pPr>
        <w:pStyle w:val="BodyText"/>
      </w:pPr>
      <w:r>
        <w:drawing>
          <wp:inline>
            <wp:extent cx="5334000" cy="421796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52/1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7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8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http://severnoe-tushino.mos.ru/presscenter/news/detail/10606164.html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0606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0606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2025-02-13T13:52:13Z</dcterms:created>
  <dcterms:modified xsi:type="dcterms:W3CDTF">2025-02-13T13:52:13Z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