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0761a114b83e2c9e827bd3c9901d8bc7d39970"/>
    <w:p>
      <w:pPr>
        <w:pStyle w:val="Heading3"/>
      </w:pPr>
      <w:r>
        <w:t xml:space="preserve">Подтвердить статус «предпенсионера» и пользоваться льготами</w:t>
      </w:r>
    </w:p>
    <w:p>
      <w:pPr>
        <w:pStyle w:val="FirstParagraph"/>
      </w:pPr>
      <w:r>
        <w:t xml:space="preserve">04.02.2022</w:t>
      </w:r>
    </w:p>
    <w:p>
      <w:pPr>
        <w:pStyle w:val="BodyText"/>
      </w:pPr>
      <w:r>
        <w:rPr>
          <w:bCs/>
          <w:b/>
        </w:rPr>
        <w:t xml:space="preserve">Подтвердить статус «предпенсионера» и пользоваться льготами</w:t>
      </w:r>
    </w:p>
    <w:p>
      <w:pPr>
        <w:pStyle w:val="BodyText"/>
      </w:pPr>
      <w:r>
        <w:rPr>
          <w:bCs/>
          <w:b/>
        </w:rPr>
        <w:t xml:space="preserve">4 февраля 2021 года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 Москве и Московской области</w:t>
      </w:r>
      <w:r>
        <w:t xml:space="preserve"> </w:t>
      </w:r>
      <w:r>
        <w:t xml:space="preserve">напоминает, что территориальный органе Пенсионного фонда РФ подтверждает гражданам статус «предпенсионер».</w:t>
      </w:r>
    </w:p>
    <w:p>
      <w:pPr>
        <w:pStyle w:val="BodyText"/>
      </w:pPr>
      <w:r>
        <w:t xml:space="preserve">В соответствии с законодательством, лицами предпенсионного возраста признаются граждане, которым до выхода на пенсию осталось 5 лет. В 2021 году к предпенсионерам относятся мужчины 1960-1963 годов рождения и женщины 1965-1968 годов рождения. Статус «лицо предпенсионного возраста» дает право гражданам на различные льготы и меры социальной поддержки, которые ранее предоставлялись только по достижении пенсионного возраста.</w:t>
      </w:r>
    </w:p>
    <w:p>
      <w:pPr>
        <w:pStyle w:val="BodyText"/>
      </w:pPr>
      <w:r>
        <w:rPr>
          <w:bCs/>
          <w:b/>
        </w:rPr>
        <w:t xml:space="preserve">Начальник Главного управления ПФР №9 Людмила Тарасова</w:t>
      </w:r>
      <w:r>
        <w:t xml:space="preserve"> </w:t>
      </w:r>
      <w:r>
        <w:t xml:space="preserve">отмечает что, для того, чтобы воспользоваться льготами, предпенсионеру необходимо иметь подтвержденный статус. Сделать это можно несколькими способами. Наиболее простой из них - в электронном виде на официальном сайте ПФР es.pfrf.ru или портале gosuslugi.ru</w:t>
      </w:r>
    </w:p>
    <w:p>
      <w:pPr>
        <w:pStyle w:val="BodyText"/>
      </w:pPr>
      <w:r>
        <w:t xml:space="preserve">Чтобы получить справку в онлайн-режиме, необходимо войти в «Личный кабинет» при помощи пароля и логина учетной записи на Едином портале государственных услуг, выбрать в разделе «Пенсии» вкладку «Заказать справку (выписку) об отнесении гражданина к категории граждан предпенсионного возраста», после чего указать орган, куда предоставляются сведения. Далее сформированную справку можно получить на электронную почту, сохранить, распечатать, а также просмотреть в разделе «История обращений». Также справку о статусе предпенсионера можно получить при личном обращении в территориальный орган ПФР по месту жительства, но в настоящее время только по предварительной записи.</w:t>
      </w:r>
    </w:p>
    <w:p>
      <w:pPr>
        <w:pStyle w:val="BodyText"/>
      </w:pPr>
      <w:r>
        <w:rPr>
          <w:bCs/>
          <w:b/>
        </w:rPr>
        <w:t xml:space="preserve">ВАЖНО:</w:t>
      </w:r>
      <w:r>
        <w:t xml:space="preserve"> </w:t>
      </w:r>
      <w:r>
        <w:t xml:space="preserve">Гражданам предпенсионного возраста доступны такие льготы, как:</w:t>
      </w:r>
    </w:p>
    <w:p>
      <w:pPr>
        <w:pStyle w:val="BodyText"/>
      </w:pPr>
      <w:r>
        <w:t xml:space="preserve">- налоговые льготы по земельному налогу;</w:t>
      </w:r>
    </w:p>
    <w:p>
      <w:pPr>
        <w:pStyle w:val="BodyText"/>
      </w:pPr>
      <w:r>
        <w:t xml:space="preserve">- налоговые льготы по налогу на имущество;</w:t>
      </w:r>
    </w:p>
    <w:p>
      <w:pPr>
        <w:pStyle w:val="BodyText"/>
      </w:pPr>
      <w:r>
        <w:t xml:space="preserve">- защита от увольнения по инициативе работодателя и сокращения (для работодателя установлена уголовная ответственность за необоснованное увольнение предпенсионера);</w:t>
      </w:r>
    </w:p>
    <w:p>
      <w:pPr>
        <w:pStyle w:val="BodyText"/>
      </w:pPr>
      <w:r>
        <w:t xml:space="preserve">- повышенный размер пособия по безработице и увеличенный период его выплаты;</w:t>
      </w:r>
    </w:p>
    <w:p>
      <w:pPr>
        <w:pStyle w:val="BodyText"/>
      </w:pPr>
      <w:r>
        <w:t xml:space="preserve">- переобучение для лиц предпенсионного возраста;</w:t>
      </w:r>
    </w:p>
    <w:p>
      <w:pPr>
        <w:pStyle w:val="BodyText"/>
      </w:pPr>
      <w:r>
        <w:t xml:space="preserve">- 2 дня ежегодно для прохождения диспансеризации;</w:t>
      </w:r>
    </w:p>
    <w:p>
      <w:pPr>
        <w:pStyle w:val="BodyText"/>
      </w:pPr>
      <w:r>
        <w:t xml:space="preserve">- региональные льготы и меры социальной поддержки.</w:t>
      </w:r>
    </w:p>
    <w:p>
      <w:pPr>
        <w:pStyle w:val="BodyText"/>
      </w:pPr>
      <w:r>
        <w:t xml:space="preserve">Более подробно ознакомиться с информацией о льготах и гарантиях гражданам предпенсионного возраста можно на официальном сайте Пенсионного фонда в разделе «Гражданам»/</w:t>
      </w:r>
      <w:hyperlink r:id="rId20">
        <w:r>
          <w:rPr>
            <w:rStyle w:val="Hyperlink"/>
          </w:rPr>
          <w:t xml:space="preserve">«Что нужно знать о пенсионной системе»</w:t>
        </w:r>
      </w:hyperlink>
      <w:r>
        <w:t xml:space="preserve">.</w:t>
      </w:r>
    </w:p>
    <w:p>
      <w:pPr>
        <w:pStyle w:val="BodyText"/>
      </w:pPr>
      <w:r>
        <w:drawing>
          <wp:inline>
            <wp:extent cx="5334000" cy="426615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4c6/11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661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http://severnoe-tushino.mos.ru/presscenter/news/detail/10597999.html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png" /><Relationship Type="http://schemas.openxmlformats.org/officeDocument/2006/relationships/hyperlink" Id="rId25" Target="http://severnoe-tushino.mos.ru" TargetMode="External" /><Relationship Type="http://schemas.openxmlformats.org/officeDocument/2006/relationships/hyperlink" Id="rId24" Target="http://severnoe-tushino.mos.ru/presscenter/news/detail/10597999.html" TargetMode="External" /><Relationship Type="http://schemas.openxmlformats.org/officeDocument/2006/relationships/hyperlink" Id="rId20" Target="https://pfr.gov.ru/grazhdanam/zako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evernoe-tushino.mos.ru" TargetMode="External" /><Relationship Type="http://schemas.openxmlformats.org/officeDocument/2006/relationships/hyperlink" Id="rId24" Target="http://severnoe-tushino.mos.ru/presscenter/news/detail/10597999.html" TargetMode="External" /><Relationship Type="http://schemas.openxmlformats.org/officeDocument/2006/relationships/hyperlink" Id="rId20" Target="https://pfr.gov.ru/grazhdanam/zako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2025-02-19T17:08:50Z</dcterms:created>
  <dcterms:modified xsi:type="dcterms:W3CDTF">2025-02-19T17:08:50Z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