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иказ-105-к-от-28.12.2020."/>
    <w:p>
      <w:pPr>
        <w:pStyle w:val="Heading3"/>
      </w:pPr>
      <w:r>
        <w:t xml:space="preserve">Приказ №105-к от 28.12.2020.</w:t>
      </w:r>
    </w:p>
    <w:p>
      <w:pPr>
        <w:pStyle w:val="FirstParagraph"/>
      </w:pPr>
      <w:r>
        <w:t xml:space="preserve">30.12.2020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№105-к от 28.12.2020 «Об утверждении списка государственной гражданской службы города Москвы , при назначении на которые граждане и при замещении которых государственные гражданские служащие города Москвы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http://severnoe-tushino.mos.ru/anti-corruption/information-on-income-expenses-about-property-and-obligations-of-property-character/detail/9606678.html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e9/prikaz00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9606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e9/prikaz00.pdf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9606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2023-10-07T05:19:38Z</dcterms:created>
  <dcterms:modified xsi:type="dcterms:W3CDTF">2023-10-07T05:19:38Z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