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660a37cf2226061e9f4620a00f53e451a84efb"/>
    <w:p>
      <w:pPr>
        <w:pStyle w:val="Heading3"/>
      </w:pPr>
      <w:r>
        <w:t xml:space="preserve">Сведения о среднемесячной заработной плате руководителя, заместителя руководителя и главного бухгалтера Государственного казенного учреждения города Москвы «Инженерная служба района Северное Тушино» за период с 1 января по 31 декабря 2018 г.</w:t>
      </w:r>
    </w:p>
    <w:p>
      <w:pPr>
        <w:pStyle w:val="FirstParagraph"/>
      </w:pPr>
      <w:r>
        <w:t xml:space="preserve">13.12.2019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 за 2018 год.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http://severnoe-tushino.mos.ru/anti-corruption/information-on-income-expenses-about-property-and-obligations-of-property-character/detail/8563925.html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e89/zartlata.docx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anti-corruption/information-on-income-expenses-about-property-and-obligations-of-property-character/detail/85639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e89/zartlata.docx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anti-corruption/information-on-income-expenses-about-property-and-obligations-of-property-character/detail/85639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2025-06-19T12:35:44Z</dcterms:created>
  <dcterms:modified xsi:type="dcterms:W3CDTF">2025-06-19T12:35:44Z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