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7a13c558bb822dc2d461866e4c89578a58843"/>
    <w:p>
      <w:pPr>
        <w:pStyle w:val="Heading3"/>
      </w:pPr>
      <w:r>
        <w:t xml:space="preserve">Сведения о среднемесячной заработной плате руководителя и главного бухгалтера ГКУ «Инженерная служба района Северное Тушино».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среднемесячной заработной плате руководителя и главного бухгалтера ГКУ «Инженерная служба района Северное Тушино».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http://severnoe-tushino.mos.ru/anti-corruption/information-on-income-expenses-about-property-and-obligations-of-property-character/detail/10800631.html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269/hzs4esdxuyy668rgl39571yjz1p453rd/Srednemes-zp-GKU-IS-Severnoe-Tushino.xlsx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information-on-income-expenses-about-property-and-obligations-of-property-character/detail/10800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269/hzs4esdxuyy668rgl39571yjz1p453rd/Srednemes-zp-GKU-IS-Severnoe-Tushino.xlsx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information-on-income-expenses-about-property-and-obligations-of-property-character/detail/10800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2023-10-09T07:54:58Z</dcterms:created>
  <dcterms:modified xsi:type="dcterms:W3CDTF">2023-10-09T07:54:58Z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